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C5" w:rsidRDefault="00F172C5">
      <w:bookmarkStart w:id="0" w:name="_GoBack"/>
      <w:bookmarkEnd w:id="0"/>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T302 Unit 2 Assignment Grading Rubric"/>
        <w:tblDescription w:val="There are four columns: Criteria; Percvent possible; Points possible; Points earned"/>
      </w:tblPr>
      <w:tblGrid>
        <w:gridCol w:w="5395"/>
        <w:gridCol w:w="1170"/>
        <w:gridCol w:w="1350"/>
        <w:gridCol w:w="1350"/>
      </w:tblGrid>
      <w:tr w:rsidR="00DA3922" w:rsidTr="00DA3922">
        <w:tc>
          <w:tcPr>
            <w:tcW w:w="5395" w:type="dxa"/>
            <w:shd w:val="clear" w:color="auto" w:fill="DEEBF6"/>
          </w:tcPr>
          <w:p w:rsidR="00DA3922" w:rsidRDefault="00DA3922" w:rsidP="007F34FE">
            <w:pPr>
              <w:widowControl/>
              <w:spacing w:after="0" w:line="240" w:lineRule="auto"/>
              <w:rPr>
                <w:b/>
              </w:rPr>
            </w:pPr>
            <w:r>
              <w:rPr>
                <w:b/>
              </w:rPr>
              <w:t>Unit 2 Assignment</w:t>
            </w:r>
            <w:r w:rsidR="00F748C9">
              <w:rPr>
                <w:b/>
              </w:rPr>
              <w:t xml:space="preserve"> Grading Rubric</w:t>
            </w:r>
          </w:p>
          <w:p w:rsidR="00F748C9" w:rsidRDefault="00F748C9" w:rsidP="007F34FE">
            <w:pPr>
              <w:widowControl/>
              <w:spacing w:after="0" w:line="240" w:lineRule="auto"/>
              <w:rPr>
                <w:b/>
              </w:rPr>
            </w:pPr>
            <w:r>
              <w:rPr>
                <w:b/>
              </w:rPr>
              <w:t>Criteria:</w:t>
            </w:r>
          </w:p>
        </w:tc>
        <w:tc>
          <w:tcPr>
            <w:tcW w:w="1170" w:type="dxa"/>
            <w:shd w:val="clear" w:color="auto" w:fill="DEEBF6"/>
          </w:tcPr>
          <w:p w:rsidR="00DA3922" w:rsidRPr="008F021B" w:rsidRDefault="00DA3922" w:rsidP="007F34FE">
            <w:pPr>
              <w:widowControl/>
              <w:spacing w:after="0" w:line="240" w:lineRule="auto"/>
              <w:jc w:val="center"/>
              <w:rPr>
                <w:b/>
              </w:rPr>
            </w:pPr>
            <w:r w:rsidRPr="008F021B">
              <w:rPr>
                <w:b/>
              </w:rPr>
              <w:t>Percent possible</w:t>
            </w:r>
          </w:p>
        </w:tc>
        <w:tc>
          <w:tcPr>
            <w:tcW w:w="1350" w:type="dxa"/>
            <w:shd w:val="clear" w:color="auto" w:fill="DEEBF6"/>
          </w:tcPr>
          <w:p w:rsidR="00DA3922" w:rsidRPr="008F021B" w:rsidRDefault="00DA3922" w:rsidP="007F34FE">
            <w:pPr>
              <w:widowControl/>
              <w:spacing w:after="0" w:line="240" w:lineRule="auto"/>
              <w:jc w:val="center"/>
              <w:rPr>
                <w:b/>
              </w:rPr>
            </w:pPr>
            <w:r w:rsidRPr="008F021B">
              <w:rPr>
                <w:b/>
              </w:rPr>
              <w:t>Points possible</w:t>
            </w:r>
          </w:p>
        </w:tc>
        <w:tc>
          <w:tcPr>
            <w:tcW w:w="1350" w:type="dxa"/>
            <w:shd w:val="clear" w:color="auto" w:fill="DEEBF6"/>
          </w:tcPr>
          <w:p w:rsidR="00DA3922" w:rsidRPr="008F021B" w:rsidRDefault="00DA3922" w:rsidP="00F748C9">
            <w:pPr>
              <w:widowControl/>
              <w:spacing w:after="0" w:line="240" w:lineRule="auto"/>
              <w:jc w:val="center"/>
              <w:rPr>
                <w:b/>
              </w:rPr>
            </w:pPr>
            <w:r w:rsidRPr="008F021B">
              <w:rPr>
                <w:b/>
              </w:rPr>
              <w:t xml:space="preserve">Points </w:t>
            </w:r>
            <w:r w:rsidR="00F748C9">
              <w:rPr>
                <w:b/>
              </w:rPr>
              <w:t>e</w:t>
            </w:r>
            <w:r w:rsidRPr="008F021B">
              <w:rPr>
                <w:b/>
              </w:rPr>
              <w:t>arned</w:t>
            </w:r>
          </w:p>
        </w:tc>
      </w:tr>
      <w:tr w:rsidR="00DA3922" w:rsidTr="00DA3922">
        <w:tc>
          <w:tcPr>
            <w:tcW w:w="5395" w:type="dxa"/>
            <w:shd w:val="clear" w:color="auto" w:fill="DEEBF6"/>
          </w:tcPr>
          <w:p w:rsidR="00DA3922" w:rsidRDefault="00DA3922" w:rsidP="007F34FE">
            <w:pPr>
              <w:widowControl/>
              <w:spacing w:after="0" w:line="240" w:lineRule="auto"/>
              <w:rPr>
                <w:b/>
              </w:rPr>
            </w:pPr>
          </w:p>
        </w:tc>
        <w:tc>
          <w:tcPr>
            <w:tcW w:w="1170" w:type="dxa"/>
            <w:shd w:val="clear" w:color="auto" w:fill="DEEBF6"/>
          </w:tcPr>
          <w:p w:rsidR="00DA3922" w:rsidRPr="008F021B" w:rsidRDefault="00DA3922" w:rsidP="007F34FE">
            <w:pPr>
              <w:widowControl/>
              <w:spacing w:after="0" w:line="240" w:lineRule="auto"/>
              <w:jc w:val="center"/>
              <w:rPr>
                <w:b/>
              </w:rPr>
            </w:pPr>
            <w:r w:rsidRPr="008F021B">
              <w:rPr>
                <w:b/>
              </w:rPr>
              <w:t>100%</w:t>
            </w:r>
          </w:p>
        </w:tc>
        <w:tc>
          <w:tcPr>
            <w:tcW w:w="1350" w:type="dxa"/>
            <w:shd w:val="clear" w:color="auto" w:fill="DEEBF6"/>
          </w:tcPr>
          <w:p w:rsidR="00DA3922" w:rsidRPr="008F021B" w:rsidRDefault="00DA3922" w:rsidP="007F34FE">
            <w:pPr>
              <w:widowControl/>
              <w:spacing w:after="0" w:line="240" w:lineRule="auto"/>
              <w:jc w:val="center"/>
              <w:rPr>
                <w:b/>
              </w:rPr>
            </w:pPr>
            <w:r>
              <w:rPr>
                <w:b/>
              </w:rPr>
              <w:t>60</w:t>
            </w:r>
          </w:p>
        </w:tc>
        <w:tc>
          <w:tcPr>
            <w:tcW w:w="1350" w:type="dxa"/>
            <w:shd w:val="clear" w:color="auto" w:fill="DEEBF6"/>
          </w:tcPr>
          <w:p w:rsidR="00DA3922" w:rsidRPr="008F021B" w:rsidRDefault="00DA3922" w:rsidP="007F34FE">
            <w:pPr>
              <w:widowControl/>
              <w:spacing w:after="0" w:line="240" w:lineRule="auto"/>
              <w:jc w:val="center"/>
              <w:rPr>
                <w:b/>
              </w:rPr>
            </w:pPr>
          </w:p>
        </w:tc>
      </w:tr>
      <w:tr w:rsidR="00DA3922" w:rsidTr="00DA3922">
        <w:trPr>
          <w:trHeight w:val="1000"/>
        </w:trPr>
        <w:tc>
          <w:tcPr>
            <w:tcW w:w="5395" w:type="dxa"/>
            <w:shd w:val="clear" w:color="auto" w:fill="DEEBF6"/>
          </w:tcPr>
          <w:p w:rsidR="00DA3922" w:rsidRDefault="00DA3922" w:rsidP="007F34FE">
            <w:pPr>
              <w:widowControl/>
              <w:spacing w:after="0" w:line="240" w:lineRule="auto"/>
            </w:pPr>
            <w:r>
              <w:t>Response to the scenario provides complete information demonstrating analysis and critical thinking:</w:t>
            </w:r>
          </w:p>
        </w:tc>
        <w:tc>
          <w:tcPr>
            <w:tcW w:w="1170" w:type="dxa"/>
            <w:shd w:val="clear" w:color="auto" w:fill="DEEBF6"/>
          </w:tcPr>
          <w:p w:rsidR="00DA3922" w:rsidRDefault="00DA3922" w:rsidP="007F34FE">
            <w:pPr>
              <w:widowControl/>
              <w:spacing w:after="0" w:line="240" w:lineRule="auto"/>
              <w:jc w:val="center"/>
            </w:pPr>
            <w:r>
              <w:t>80%</w:t>
            </w:r>
          </w:p>
        </w:tc>
        <w:tc>
          <w:tcPr>
            <w:tcW w:w="135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pPr>
          </w:p>
        </w:tc>
      </w:tr>
      <w:tr w:rsidR="00DA3922" w:rsidTr="00DA3922">
        <w:trPr>
          <w:trHeight w:val="500"/>
        </w:trPr>
        <w:tc>
          <w:tcPr>
            <w:tcW w:w="5395" w:type="dxa"/>
            <w:shd w:val="clear" w:color="auto" w:fill="DEEBF6"/>
          </w:tcPr>
          <w:p w:rsidR="00DA3922" w:rsidRDefault="00DA3922" w:rsidP="00DA3922">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47" w:hanging="180"/>
              <w:contextualSpacing/>
            </w:pPr>
            <w:r>
              <w:t xml:space="preserve"> Describes the attitudes and job satisfaction of each of the four employees.</w:t>
            </w:r>
          </w:p>
          <w:p w:rsidR="00DA3922" w:rsidRDefault="00DA3922" w:rsidP="00DA3922">
            <w:pPr>
              <w:pBdr>
                <w:top w:val="none" w:sz="0" w:space="0" w:color="auto"/>
                <w:left w:val="none" w:sz="0" w:space="0" w:color="auto"/>
                <w:bottom w:val="none" w:sz="0" w:space="0" w:color="auto"/>
                <w:right w:val="none" w:sz="0" w:space="0" w:color="auto"/>
                <w:between w:val="none" w:sz="0" w:space="0" w:color="auto"/>
              </w:pBdr>
              <w:spacing w:after="0" w:line="240" w:lineRule="auto"/>
              <w:ind w:left="247"/>
              <w:contextualSpacing/>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r>
              <w:t>10</w:t>
            </w:r>
          </w:p>
        </w:tc>
        <w:tc>
          <w:tcPr>
            <w:tcW w:w="1350" w:type="dxa"/>
            <w:shd w:val="clear" w:color="auto" w:fill="DEEBF6"/>
          </w:tcPr>
          <w:p w:rsidR="00DA3922" w:rsidRDefault="00DA3922" w:rsidP="007F34FE">
            <w:pPr>
              <w:widowControl/>
              <w:spacing w:after="0" w:line="240" w:lineRule="auto"/>
            </w:pPr>
          </w:p>
        </w:tc>
      </w:tr>
      <w:tr w:rsidR="00DA3922" w:rsidTr="00DA3922">
        <w:trPr>
          <w:trHeight w:val="580"/>
        </w:trPr>
        <w:tc>
          <w:tcPr>
            <w:tcW w:w="5395" w:type="dxa"/>
            <w:shd w:val="clear" w:color="auto" w:fill="DEEBF6"/>
          </w:tcPr>
          <w:p w:rsidR="00DA3922" w:rsidRDefault="00DA3922" w:rsidP="00FA02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270"/>
              <w:contextualSpacing/>
            </w:pPr>
            <w:r>
              <w:t>Categorizes and explains the responses the employees have to dissatisfaction based on the Reading.</w:t>
            </w:r>
          </w:p>
          <w:p w:rsidR="00DA3922" w:rsidRDefault="00DA3922" w:rsidP="00FA02CF">
            <w:pPr>
              <w:widowControl/>
              <w:spacing w:after="0" w:line="240" w:lineRule="auto"/>
              <w:ind w:left="687"/>
              <w:contextualSpacing/>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r>
              <w:t>10</w:t>
            </w:r>
          </w:p>
        </w:tc>
        <w:tc>
          <w:tcPr>
            <w:tcW w:w="1350" w:type="dxa"/>
            <w:shd w:val="clear" w:color="auto" w:fill="DEEBF6"/>
          </w:tcPr>
          <w:p w:rsidR="00DA3922" w:rsidRDefault="00DA3922" w:rsidP="007F34FE">
            <w:pPr>
              <w:widowControl/>
              <w:spacing w:after="0" w:line="240" w:lineRule="auto"/>
            </w:pPr>
          </w:p>
        </w:tc>
      </w:tr>
      <w:tr w:rsidR="00DA3922" w:rsidTr="00DA3922">
        <w:trPr>
          <w:trHeight w:val="580"/>
        </w:trPr>
        <w:tc>
          <w:tcPr>
            <w:tcW w:w="5395" w:type="dxa"/>
            <w:shd w:val="clear" w:color="auto" w:fill="DEEBF6"/>
          </w:tcPr>
          <w:p w:rsidR="00DA3922" w:rsidRDefault="00DA3922" w:rsidP="001436D1">
            <w:pPr>
              <w:pStyle w:val="ListParagraph"/>
              <w:widowControl/>
              <w:numPr>
                <w:ilvl w:val="0"/>
                <w:numId w:val="3"/>
              </w:numPr>
              <w:spacing w:after="0" w:line="240" w:lineRule="auto"/>
              <w:ind w:left="337" w:hanging="270"/>
            </w:pPr>
            <w:r>
              <w:t>Explains how the above attitudes and job satisfaction for each employee impacts the organization in terms of profit, employee turnover, and affecting other employee attitudes.</w:t>
            </w:r>
          </w:p>
          <w:p w:rsidR="00DA3922" w:rsidRDefault="00DA3922" w:rsidP="00DA3922">
            <w:pPr>
              <w:pStyle w:val="ListParagraph"/>
              <w:widowControl/>
              <w:spacing w:after="0" w:line="240" w:lineRule="auto"/>
              <w:ind w:left="337"/>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r>
              <w:t>10</w:t>
            </w:r>
          </w:p>
          <w:p w:rsidR="00DA3922" w:rsidRDefault="00DA3922" w:rsidP="007F34FE">
            <w:pPr>
              <w:widowControl/>
              <w:spacing w:after="0" w:line="240" w:lineRule="auto"/>
            </w:pPr>
          </w:p>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pPr>
          </w:p>
        </w:tc>
      </w:tr>
      <w:tr w:rsidR="00DA3922" w:rsidTr="00DA3922">
        <w:trPr>
          <w:trHeight w:val="580"/>
        </w:trPr>
        <w:tc>
          <w:tcPr>
            <w:tcW w:w="5395" w:type="dxa"/>
            <w:shd w:val="clear" w:color="auto" w:fill="DEEBF6"/>
          </w:tcPr>
          <w:p w:rsidR="00DA3922" w:rsidRDefault="00DA3922" w:rsidP="001436D1">
            <w:pPr>
              <w:numPr>
                <w:ilvl w:val="0"/>
                <w:numId w:val="3"/>
              </w:numPr>
              <w:pBdr>
                <w:top w:val="none" w:sz="0" w:space="1" w:color="000000"/>
                <w:left w:val="none" w:sz="0" w:space="0" w:color="000000"/>
                <w:bottom w:val="none" w:sz="0" w:space="0" w:color="000000"/>
                <w:right w:val="none" w:sz="0" w:space="0" w:color="000000"/>
                <w:between w:val="none" w:sz="0" w:space="0" w:color="000000"/>
              </w:pBdr>
              <w:spacing w:after="0" w:line="240" w:lineRule="auto"/>
              <w:ind w:left="337" w:hanging="270"/>
              <w:contextualSpacing/>
            </w:pPr>
            <w:r>
              <w:t>Includes at least 2 scholarly* citations with accompanying references regarding attitudes and job satisfaction and the impact on the organization that supports his/her responses to the checklist item above.</w:t>
            </w:r>
          </w:p>
          <w:p w:rsidR="00DA3922" w:rsidRDefault="00DA3922" w:rsidP="001436D1">
            <w:pPr>
              <w:pStyle w:val="ListParagraph"/>
              <w:widowControl/>
              <w:spacing w:after="0" w:line="240" w:lineRule="auto"/>
              <w:ind w:left="1057"/>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r>
              <w:t>8</w:t>
            </w:r>
          </w:p>
        </w:tc>
        <w:tc>
          <w:tcPr>
            <w:tcW w:w="1350" w:type="dxa"/>
            <w:shd w:val="clear" w:color="auto" w:fill="DEEBF6"/>
          </w:tcPr>
          <w:p w:rsidR="00DA3922" w:rsidRDefault="00DA3922" w:rsidP="007F34FE">
            <w:pPr>
              <w:widowControl/>
              <w:spacing w:after="0" w:line="240" w:lineRule="auto"/>
            </w:pPr>
          </w:p>
        </w:tc>
      </w:tr>
      <w:tr w:rsidR="00DA3922" w:rsidTr="00DA3922">
        <w:trPr>
          <w:trHeight w:val="580"/>
        </w:trPr>
        <w:tc>
          <w:tcPr>
            <w:tcW w:w="5395" w:type="dxa"/>
            <w:shd w:val="clear" w:color="auto" w:fill="DEEBF6"/>
          </w:tcPr>
          <w:p w:rsidR="00DA3922" w:rsidRDefault="00DA3922" w:rsidP="001436D1">
            <w:pPr>
              <w:numPr>
                <w:ilvl w:val="0"/>
                <w:numId w:val="3"/>
              </w:numPr>
              <w:pBdr>
                <w:top w:val="none" w:sz="0" w:space="1" w:color="000000"/>
                <w:left w:val="none" w:sz="0" w:space="0" w:color="000000"/>
                <w:bottom w:val="none" w:sz="0" w:space="0" w:color="000000"/>
                <w:right w:val="none" w:sz="0" w:space="0" w:color="000000"/>
                <w:between w:val="none" w:sz="0" w:space="0" w:color="000000"/>
              </w:pBdr>
              <w:spacing w:after="0" w:line="240" w:lineRule="auto"/>
              <w:ind w:left="346" w:hanging="274"/>
              <w:contextualSpacing/>
            </w:pPr>
            <w:r>
              <w:t>Explains what each of the managers of the four employees can do to change the employees’ attitudes for the better (referencing at least one of Mintzberg’s managerial roles to explain your response).</w:t>
            </w:r>
          </w:p>
          <w:p w:rsidR="00DA3922" w:rsidRDefault="00DA3922" w:rsidP="001436D1">
            <w:pPr>
              <w:widowControl/>
              <w:spacing w:after="0" w:line="240" w:lineRule="auto"/>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r>
              <w:t>10</w:t>
            </w:r>
          </w:p>
        </w:tc>
        <w:tc>
          <w:tcPr>
            <w:tcW w:w="1350" w:type="dxa"/>
            <w:shd w:val="clear" w:color="auto" w:fill="DEEBF6"/>
          </w:tcPr>
          <w:p w:rsidR="00DA3922" w:rsidRDefault="00DA3922" w:rsidP="007F34FE">
            <w:pPr>
              <w:widowControl/>
              <w:spacing w:after="0" w:line="240" w:lineRule="auto"/>
            </w:pPr>
          </w:p>
        </w:tc>
      </w:tr>
      <w:tr w:rsidR="00DA3922" w:rsidTr="00DA3922">
        <w:tc>
          <w:tcPr>
            <w:tcW w:w="5395" w:type="dxa"/>
            <w:shd w:val="clear" w:color="auto" w:fill="DEEBF6"/>
          </w:tcPr>
          <w:p w:rsidR="00DA3922" w:rsidRDefault="00DA3922" w:rsidP="00F748C9">
            <w:pPr>
              <w:spacing w:line="240" w:lineRule="auto"/>
              <w:ind w:left="187" w:right="165"/>
              <w:jc w:val="right"/>
            </w:pPr>
            <w:r w:rsidRPr="00DA3922">
              <w:rPr>
                <w:b/>
                <w:color w:val="auto"/>
              </w:rPr>
              <w:t>Subtotal:</w:t>
            </w: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1436D1">
            <w:pPr>
              <w:widowControl/>
              <w:tabs>
                <w:tab w:val="left" w:pos="570"/>
                <w:tab w:val="center" w:pos="702"/>
              </w:tabs>
              <w:spacing w:after="0" w:line="240" w:lineRule="auto"/>
              <w:jc w:val="center"/>
            </w:pPr>
            <w:r>
              <w:t>48</w:t>
            </w:r>
          </w:p>
        </w:tc>
        <w:tc>
          <w:tcPr>
            <w:tcW w:w="1350" w:type="dxa"/>
            <w:shd w:val="clear" w:color="auto" w:fill="DEEBF6"/>
          </w:tcPr>
          <w:p w:rsidR="00DA3922" w:rsidRDefault="00DA3922" w:rsidP="007F34FE">
            <w:pPr>
              <w:widowControl/>
              <w:spacing w:after="0" w:line="240" w:lineRule="auto"/>
            </w:pPr>
          </w:p>
        </w:tc>
      </w:tr>
      <w:tr w:rsidR="00DA3922" w:rsidTr="00DA3922">
        <w:tc>
          <w:tcPr>
            <w:tcW w:w="5395" w:type="dxa"/>
            <w:shd w:val="clear" w:color="auto" w:fill="DEEBF6"/>
          </w:tcPr>
          <w:p w:rsidR="00DA3922" w:rsidRDefault="00DA3922" w:rsidP="001436D1">
            <w:pPr>
              <w:widowControl/>
              <w:spacing w:after="0" w:line="240" w:lineRule="auto"/>
              <w:contextualSpacing/>
            </w:pPr>
            <w:r>
              <w:t>Uses correct spelling, grammar, and APA citation style in a 2–3 informative essay with additional title and reference pages.</w:t>
            </w:r>
          </w:p>
          <w:p w:rsidR="00DA3922" w:rsidRPr="001436D1" w:rsidRDefault="00DA3922" w:rsidP="00F748C9">
            <w:pPr>
              <w:widowControl/>
              <w:spacing w:after="0" w:line="240" w:lineRule="auto"/>
              <w:ind w:right="165"/>
              <w:jc w:val="right"/>
              <w:rPr>
                <w:b/>
              </w:rPr>
            </w:pPr>
            <w:r w:rsidRPr="00F748C9">
              <w:rPr>
                <w:b/>
                <w:color w:val="auto"/>
              </w:rPr>
              <w:t>Subtotal:</w:t>
            </w:r>
          </w:p>
        </w:tc>
        <w:tc>
          <w:tcPr>
            <w:tcW w:w="1170" w:type="dxa"/>
            <w:shd w:val="clear" w:color="auto" w:fill="DEEBF6"/>
          </w:tcPr>
          <w:p w:rsidR="00DA3922" w:rsidRDefault="00DA3922" w:rsidP="007F34FE">
            <w:pPr>
              <w:widowControl/>
              <w:spacing w:after="0" w:line="240" w:lineRule="auto"/>
              <w:jc w:val="center"/>
            </w:pPr>
            <w:r>
              <w:t>20%</w:t>
            </w:r>
          </w:p>
        </w:tc>
        <w:tc>
          <w:tcPr>
            <w:tcW w:w="1350" w:type="dxa"/>
            <w:shd w:val="clear" w:color="auto" w:fill="DEEBF6"/>
          </w:tcPr>
          <w:p w:rsidR="00DA3922" w:rsidRDefault="00DA3922" w:rsidP="00DA3922">
            <w:pPr>
              <w:widowControl/>
              <w:spacing w:after="0" w:line="240" w:lineRule="auto"/>
              <w:jc w:val="center"/>
            </w:pPr>
            <w:r>
              <w:t>12</w:t>
            </w:r>
          </w:p>
        </w:tc>
        <w:tc>
          <w:tcPr>
            <w:tcW w:w="1350" w:type="dxa"/>
            <w:shd w:val="clear" w:color="auto" w:fill="DEEBF6"/>
          </w:tcPr>
          <w:p w:rsidR="00DA3922" w:rsidRDefault="00DA3922" w:rsidP="007F34FE">
            <w:pPr>
              <w:widowControl/>
              <w:spacing w:after="0" w:line="240" w:lineRule="auto"/>
            </w:pPr>
          </w:p>
        </w:tc>
      </w:tr>
      <w:tr w:rsidR="00DA3922" w:rsidTr="00DA3922">
        <w:trPr>
          <w:trHeight w:val="320"/>
        </w:trPr>
        <w:tc>
          <w:tcPr>
            <w:tcW w:w="5395" w:type="dxa"/>
            <w:shd w:val="clear" w:color="auto" w:fill="DEEBF6"/>
          </w:tcPr>
          <w:p w:rsidR="00DA3922" w:rsidRDefault="00DA3922" w:rsidP="007F34FE">
            <w:pPr>
              <w:widowControl/>
              <w:spacing w:after="0" w:line="240" w:lineRule="auto"/>
              <w:jc w:val="right"/>
              <w:rPr>
                <w:b/>
              </w:rPr>
            </w:pPr>
          </w:p>
        </w:tc>
        <w:tc>
          <w:tcPr>
            <w:tcW w:w="1170" w:type="dxa"/>
            <w:shd w:val="clear" w:color="auto" w:fill="DEEBF6"/>
          </w:tcPr>
          <w:p w:rsidR="00DA3922" w:rsidRDefault="00DA3922" w:rsidP="007F34FE">
            <w:pPr>
              <w:widowControl/>
              <w:spacing w:after="0" w:line="240" w:lineRule="auto"/>
            </w:pPr>
          </w:p>
        </w:tc>
        <w:tc>
          <w:tcPr>
            <w:tcW w:w="1350" w:type="dxa"/>
            <w:shd w:val="clear" w:color="auto" w:fill="DEEBF6"/>
          </w:tcPr>
          <w:p w:rsidR="00DA3922" w:rsidRDefault="00DA3922" w:rsidP="007F34FE">
            <w:pPr>
              <w:widowControl/>
              <w:spacing w:after="0" w:line="240" w:lineRule="auto"/>
              <w:jc w:val="center"/>
            </w:pPr>
          </w:p>
        </w:tc>
        <w:tc>
          <w:tcPr>
            <w:tcW w:w="1350" w:type="dxa"/>
            <w:shd w:val="clear" w:color="auto" w:fill="DEEBF6"/>
          </w:tcPr>
          <w:p w:rsidR="00DA3922" w:rsidRDefault="00DA3922" w:rsidP="007F34FE">
            <w:pPr>
              <w:widowControl/>
              <w:spacing w:after="0" w:line="240" w:lineRule="auto"/>
            </w:pPr>
          </w:p>
        </w:tc>
      </w:tr>
      <w:tr w:rsidR="00DA3922" w:rsidTr="00DA3922">
        <w:tc>
          <w:tcPr>
            <w:tcW w:w="5395" w:type="dxa"/>
            <w:shd w:val="clear" w:color="auto" w:fill="DEEBF6"/>
          </w:tcPr>
          <w:p w:rsidR="00DA3922" w:rsidRDefault="00DA3922" w:rsidP="007F34FE">
            <w:pPr>
              <w:widowControl/>
              <w:spacing w:after="0" w:line="240" w:lineRule="auto"/>
              <w:rPr>
                <w:b/>
              </w:rPr>
            </w:pPr>
            <w:r>
              <w:rPr>
                <w:b/>
              </w:rPr>
              <w:t>Total Assignment Score:</w:t>
            </w:r>
          </w:p>
          <w:p w:rsidR="00DA3922" w:rsidRDefault="00DA3922" w:rsidP="007F34FE">
            <w:pPr>
              <w:widowControl/>
              <w:spacing w:after="0" w:line="240" w:lineRule="auto"/>
              <w:rPr>
                <w:b/>
              </w:rPr>
            </w:pPr>
          </w:p>
        </w:tc>
        <w:tc>
          <w:tcPr>
            <w:tcW w:w="1170" w:type="dxa"/>
            <w:shd w:val="clear" w:color="auto" w:fill="DEEBF6"/>
          </w:tcPr>
          <w:p w:rsidR="00DA3922" w:rsidRPr="008F021B" w:rsidRDefault="00DA3922" w:rsidP="007F34FE">
            <w:pPr>
              <w:widowControl/>
              <w:spacing w:after="0" w:line="240" w:lineRule="auto"/>
              <w:jc w:val="center"/>
              <w:rPr>
                <w:b/>
              </w:rPr>
            </w:pPr>
            <w:r w:rsidRPr="008F021B">
              <w:rPr>
                <w:b/>
              </w:rPr>
              <w:t>100%</w:t>
            </w:r>
          </w:p>
        </w:tc>
        <w:tc>
          <w:tcPr>
            <w:tcW w:w="1350" w:type="dxa"/>
            <w:shd w:val="clear" w:color="auto" w:fill="DEEBF6"/>
          </w:tcPr>
          <w:p w:rsidR="00DA3922" w:rsidRPr="008F021B" w:rsidRDefault="00DA3922" w:rsidP="001436D1">
            <w:pPr>
              <w:widowControl/>
              <w:spacing w:after="0" w:line="240" w:lineRule="auto"/>
              <w:jc w:val="center"/>
              <w:rPr>
                <w:b/>
              </w:rPr>
            </w:pPr>
            <w:r w:rsidRPr="008F021B">
              <w:rPr>
                <w:b/>
              </w:rPr>
              <w:t xml:space="preserve">Total </w:t>
            </w:r>
            <w:r w:rsidR="00E51B6A">
              <w:rPr>
                <w:b/>
              </w:rPr>
              <w:t xml:space="preserve">points </w:t>
            </w:r>
            <w:r w:rsidRPr="008F021B">
              <w:rPr>
                <w:b/>
              </w:rPr>
              <w:t xml:space="preserve">possible: </w:t>
            </w:r>
            <w:r>
              <w:rPr>
                <w:b/>
              </w:rPr>
              <w:t>6</w:t>
            </w:r>
            <w:r w:rsidRPr="008F021B">
              <w:rPr>
                <w:b/>
              </w:rPr>
              <w:t>0</w:t>
            </w:r>
          </w:p>
        </w:tc>
        <w:tc>
          <w:tcPr>
            <w:tcW w:w="1350" w:type="dxa"/>
            <w:shd w:val="clear" w:color="auto" w:fill="DEEBF6"/>
          </w:tcPr>
          <w:p w:rsidR="00DA3922" w:rsidRDefault="00DA3922" w:rsidP="007F34FE">
            <w:pPr>
              <w:widowControl/>
              <w:spacing w:after="0" w:line="240" w:lineRule="auto"/>
            </w:pPr>
          </w:p>
        </w:tc>
      </w:tr>
    </w:tbl>
    <w:p w:rsidR="005F431E" w:rsidRDefault="005F431E" w:rsidP="005F431E">
      <w:pPr>
        <w:spacing w:after="0" w:line="240" w:lineRule="auto"/>
        <w:contextualSpacing/>
      </w:pPr>
      <w:r>
        <w:t>*Scholarly sources have been put through a peer-review by experts to ascertain that the content is original, proves any statements or claims with viable research, etc. Select “Library” under the Academic Tools area. Then select “Limit to: Peer Reviewed” before doing your search on a topic.</w:t>
      </w:r>
    </w:p>
    <w:p w:rsidR="00F172C5" w:rsidRDefault="00F172C5"/>
    <w:sectPr w:rsidR="00F1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47A8"/>
    <w:multiLevelType w:val="multilevel"/>
    <w:tmpl w:val="96FA59F2"/>
    <w:lvl w:ilvl="0">
      <w:start w:val="1"/>
      <w:numFmt w:val="bullet"/>
      <w:lvlText w:val="●"/>
      <w:lvlJc w:val="left"/>
      <w:pPr>
        <w:ind w:left="687" w:hanging="360"/>
      </w:pPr>
      <w:rPr>
        <w:rFonts w:ascii="Noto Sans Symbols" w:eastAsia="Noto Sans Symbols" w:hAnsi="Noto Sans Symbols" w:cs="Noto Sans Symbols"/>
        <w:sz w:val="18"/>
        <w:szCs w:val="18"/>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abstractNum w:abstractNumId="1" w15:restartNumberingAfterBreak="0">
    <w:nsid w:val="6DE77FE7"/>
    <w:multiLevelType w:val="hybridMultilevel"/>
    <w:tmpl w:val="0FB2A52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15:restartNumberingAfterBreak="0">
    <w:nsid w:val="76FC6BAA"/>
    <w:multiLevelType w:val="multilevel"/>
    <w:tmpl w:val="0F940B66"/>
    <w:lvl w:ilvl="0">
      <w:start w:val="1"/>
      <w:numFmt w:val="bullet"/>
      <w:lvlText w:val="●"/>
      <w:lvlJc w:val="left"/>
      <w:pPr>
        <w:ind w:left="1440" w:hanging="360"/>
      </w:pPr>
      <w:rPr>
        <w:rFonts w:ascii="Noto Sans Symbols" w:eastAsia="Noto Sans Symbols" w:hAnsi="Noto Sans Symbols" w:cs="Noto Sans Symbols"/>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5"/>
    <w:rsid w:val="000C576A"/>
    <w:rsid w:val="001436D1"/>
    <w:rsid w:val="00531ABE"/>
    <w:rsid w:val="005F431E"/>
    <w:rsid w:val="008C3493"/>
    <w:rsid w:val="00955D24"/>
    <w:rsid w:val="00B655DA"/>
    <w:rsid w:val="00C24F62"/>
    <w:rsid w:val="00C71980"/>
    <w:rsid w:val="00DA3922"/>
    <w:rsid w:val="00E51B6A"/>
    <w:rsid w:val="00F172C5"/>
    <w:rsid w:val="00F748C9"/>
    <w:rsid w:val="00FA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0572"/>
  <w15:docId w15:val="{27F25E0C-30E6-4B5B-AFA1-8566BA67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2C5"/>
    <w:pPr>
      <w:widowControl w:val="0"/>
      <w:pBdr>
        <w:top w:val="nil"/>
        <w:left w:val="nil"/>
        <w:bottom w:val="nil"/>
        <w:right w:val="nil"/>
        <w:between w:val="nil"/>
      </w:pBdr>
      <w:spacing w:after="200" w:line="276" w:lineRule="auto"/>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D1"/>
    <w:pPr>
      <w:ind w:left="720"/>
      <w:contextualSpacing/>
    </w:pPr>
  </w:style>
  <w:style w:type="paragraph" w:styleId="BalloonText">
    <w:name w:val="Balloon Text"/>
    <w:basedOn w:val="Normal"/>
    <w:link w:val="BalloonTextChar"/>
    <w:uiPriority w:val="99"/>
    <w:semiHidden/>
    <w:unhideWhenUsed/>
    <w:rsid w:val="00F7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SV for Purdue Global</cp:lastModifiedBy>
  <cp:revision>3</cp:revision>
  <dcterms:created xsi:type="dcterms:W3CDTF">2018-11-19T16:59:00Z</dcterms:created>
  <dcterms:modified xsi:type="dcterms:W3CDTF">2018-11-19T17:04:00Z</dcterms:modified>
</cp:coreProperties>
</file>