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2C5" w:rsidRDefault="00F172C5"/>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MT302 Unit 3 Assignment Rubric"/>
        <w:tblDescription w:val="There are four columns: Criteria; Percent possible; Points possible; points earned"/>
      </w:tblPr>
      <w:tblGrid>
        <w:gridCol w:w="4945"/>
        <w:gridCol w:w="1170"/>
        <w:gridCol w:w="1440"/>
        <w:gridCol w:w="1463"/>
      </w:tblGrid>
      <w:tr w:rsidR="00A579C3" w:rsidTr="004D3100">
        <w:trPr>
          <w:tblHeader/>
        </w:trPr>
        <w:tc>
          <w:tcPr>
            <w:tcW w:w="4945" w:type="dxa"/>
            <w:shd w:val="clear" w:color="auto" w:fill="DEEBF6"/>
          </w:tcPr>
          <w:p w:rsidR="00A579C3" w:rsidRDefault="00A579C3" w:rsidP="009277F1">
            <w:pPr>
              <w:widowControl/>
              <w:spacing w:after="0" w:line="240" w:lineRule="auto"/>
              <w:rPr>
                <w:b/>
              </w:rPr>
            </w:pPr>
            <w:r>
              <w:rPr>
                <w:b/>
              </w:rPr>
              <w:t>Unit 3 Assignment</w:t>
            </w:r>
            <w:r w:rsidR="004D3100">
              <w:rPr>
                <w:b/>
              </w:rPr>
              <w:t xml:space="preserve"> Grading Rubric</w:t>
            </w:r>
          </w:p>
          <w:p w:rsidR="004D3100" w:rsidRDefault="004D3100" w:rsidP="009277F1">
            <w:pPr>
              <w:widowControl/>
              <w:spacing w:after="0" w:line="240" w:lineRule="auto"/>
              <w:rPr>
                <w:b/>
              </w:rPr>
            </w:pPr>
            <w:r>
              <w:rPr>
                <w:b/>
              </w:rPr>
              <w:t>Criteria:</w:t>
            </w:r>
          </w:p>
        </w:tc>
        <w:tc>
          <w:tcPr>
            <w:tcW w:w="1170" w:type="dxa"/>
            <w:shd w:val="clear" w:color="auto" w:fill="DEEBF6"/>
          </w:tcPr>
          <w:p w:rsidR="00A579C3" w:rsidRPr="008F021B" w:rsidRDefault="00A579C3" w:rsidP="007F34FE">
            <w:pPr>
              <w:widowControl/>
              <w:spacing w:after="0" w:line="240" w:lineRule="auto"/>
              <w:jc w:val="center"/>
              <w:rPr>
                <w:b/>
              </w:rPr>
            </w:pPr>
            <w:r w:rsidRPr="008F021B">
              <w:rPr>
                <w:b/>
              </w:rPr>
              <w:t>Percent possible</w:t>
            </w:r>
          </w:p>
        </w:tc>
        <w:tc>
          <w:tcPr>
            <w:tcW w:w="1440" w:type="dxa"/>
            <w:shd w:val="clear" w:color="auto" w:fill="DEEBF6"/>
          </w:tcPr>
          <w:p w:rsidR="00A579C3" w:rsidRPr="008F021B" w:rsidRDefault="00A579C3" w:rsidP="007F34FE">
            <w:pPr>
              <w:widowControl/>
              <w:spacing w:after="0" w:line="240" w:lineRule="auto"/>
              <w:jc w:val="center"/>
              <w:rPr>
                <w:b/>
              </w:rPr>
            </w:pPr>
            <w:r w:rsidRPr="008F021B">
              <w:rPr>
                <w:b/>
              </w:rPr>
              <w:t>Points possible</w:t>
            </w:r>
          </w:p>
        </w:tc>
        <w:tc>
          <w:tcPr>
            <w:tcW w:w="1463" w:type="dxa"/>
            <w:shd w:val="clear" w:color="auto" w:fill="DEEBF6"/>
          </w:tcPr>
          <w:p w:rsidR="00A579C3" w:rsidRPr="008F021B" w:rsidRDefault="00A579C3" w:rsidP="004D3100">
            <w:pPr>
              <w:widowControl/>
              <w:spacing w:after="0" w:line="240" w:lineRule="auto"/>
              <w:jc w:val="center"/>
              <w:rPr>
                <w:b/>
              </w:rPr>
            </w:pPr>
            <w:r w:rsidRPr="008F021B">
              <w:rPr>
                <w:b/>
              </w:rPr>
              <w:t xml:space="preserve">Points </w:t>
            </w:r>
            <w:r w:rsidR="004D3100">
              <w:rPr>
                <w:b/>
              </w:rPr>
              <w:t>e</w:t>
            </w:r>
            <w:r w:rsidRPr="008F021B">
              <w:rPr>
                <w:b/>
              </w:rPr>
              <w:t>arned</w:t>
            </w:r>
          </w:p>
        </w:tc>
      </w:tr>
      <w:tr w:rsidR="00A579C3" w:rsidTr="008A5376">
        <w:tc>
          <w:tcPr>
            <w:tcW w:w="4945" w:type="dxa"/>
            <w:shd w:val="clear" w:color="auto" w:fill="DEEBF6"/>
          </w:tcPr>
          <w:p w:rsidR="00A579C3" w:rsidRDefault="00A579C3" w:rsidP="007F34FE">
            <w:pPr>
              <w:widowControl/>
              <w:spacing w:after="0" w:line="240" w:lineRule="auto"/>
              <w:rPr>
                <w:b/>
              </w:rPr>
            </w:pPr>
          </w:p>
        </w:tc>
        <w:tc>
          <w:tcPr>
            <w:tcW w:w="1170" w:type="dxa"/>
            <w:shd w:val="clear" w:color="auto" w:fill="DEEBF6"/>
          </w:tcPr>
          <w:p w:rsidR="00A579C3" w:rsidRPr="008F021B" w:rsidRDefault="00A579C3" w:rsidP="007F34FE">
            <w:pPr>
              <w:widowControl/>
              <w:spacing w:after="0" w:line="240" w:lineRule="auto"/>
              <w:jc w:val="center"/>
              <w:rPr>
                <w:b/>
              </w:rPr>
            </w:pPr>
            <w:r w:rsidRPr="008F021B">
              <w:rPr>
                <w:b/>
              </w:rPr>
              <w:t>100%</w:t>
            </w:r>
          </w:p>
        </w:tc>
        <w:tc>
          <w:tcPr>
            <w:tcW w:w="1440" w:type="dxa"/>
            <w:shd w:val="clear" w:color="auto" w:fill="DEEBF6"/>
          </w:tcPr>
          <w:p w:rsidR="00A579C3" w:rsidRPr="008F021B" w:rsidRDefault="00A579C3" w:rsidP="007F34FE">
            <w:pPr>
              <w:widowControl/>
              <w:spacing w:after="0" w:line="240" w:lineRule="auto"/>
              <w:jc w:val="center"/>
              <w:rPr>
                <w:b/>
              </w:rPr>
            </w:pPr>
            <w:r>
              <w:rPr>
                <w:b/>
              </w:rPr>
              <w:t>60</w:t>
            </w:r>
          </w:p>
        </w:tc>
        <w:tc>
          <w:tcPr>
            <w:tcW w:w="1463" w:type="dxa"/>
            <w:shd w:val="clear" w:color="auto" w:fill="DEEBF6"/>
          </w:tcPr>
          <w:p w:rsidR="00A579C3" w:rsidRPr="008F021B" w:rsidRDefault="00A579C3" w:rsidP="007F34FE">
            <w:pPr>
              <w:widowControl/>
              <w:spacing w:after="0" w:line="240" w:lineRule="auto"/>
              <w:jc w:val="center"/>
              <w:rPr>
                <w:b/>
              </w:rPr>
            </w:pPr>
          </w:p>
        </w:tc>
      </w:tr>
      <w:tr w:rsidR="00A579C3" w:rsidTr="008A5376">
        <w:trPr>
          <w:trHeight w:val="1000"/>
        </w:trPr>
        <w:tc>
          <w:tcPr>
            <w:tcW w:w="4945" w:type="dxa"/>
            <w:shd w:val="clear" w:color="auto" w:fill="DEEBF6"/>
          </w:tcPr>
          <w:p w:rsidR="00A579C3" w:rsidRDefault="00A579C3" w:rsidP="007F34FE">
            <w:pPr>
              <w:widowControl/>
              <w:spacing w:after="0" w:line="240" w:lineRule="auto"/>
              <w:contextualSpacing/>
            </w:pPr>
            <w:r>
              <w:t>Response to the scenario provides complete information demonstrating analysis and critical thinking:</w:t>
            </w:r>
          </w:p>
        </w:tc>
        <w:tc>
          <w:tcPr>
            <w:tcW w:w="1170" w:type="dxa"/>
            <w:shd w:val="clear" w:color="auto" w:fill="DEEBF6"/>
          </w:tcPr>
          <w:p w:rsidR="00A579C3" w:rsidRDefault="00A579C3" w:rsidP="007F34FE">
            <w:pPr>
              <w:widowControl/>
              <w:spacing w:after="0" w:line="240" w:lineRule="auto"/>
              <w:jc w:val="center"/>
            </w:pPr>
            <w:r>
              <w:t>80%</w:t>
            </w:r>
          </w:p>
        </w:tc>
        <w:tc>
          <w:tcPr>
            <w:tcW w:w="1440" w:type="dxa"/>
            <w:shd w:val="clear" w:color="auto" w:fill="DEEBF6"/>
          </w:tcPr>
          <w:p w:rsidR="00A579C3" w:rsidRDefault="00A579C3" w:rsidP="007F34FE">
            <w:pPr>
              <w:widowControl/>
              <w:spacing w:after="0" w:line="240" w:lineRule="auto"/>
            </w:pPr>
          </w:p>
        </w:tc>
        <w:tc>
          <w:tcPr>
            <w:tcW w:w="1463" w:type="dxa"/>
            <w:shd w:val="clear" w:color="auto" w:fill="DEEBF6"/>
          </w:tcPr>
          <w:p w:rsidR="00A579C3" w:rsidRDefault="00A579C3" w:rsidP="007F34FE">
            <w:pPr>
              <w:widowControl/>
              <w:spacing w:after="0" w:line="240" w:lineRule="auto"/>
            </w:pPr>
          </w:p>
        </w:tc>
      </w:tr>
      <w:tr w:rsidR="00A579C3" w:rsidTr="008A5376">
        <w:trPr>
          <w:trHeight w:val="580"/>
        </w:trPr>
        <w:tc>
          <w:tcPr>
            <w:tcW w:w="4945" w:type="dxa"/>
            <w:shd w:val="clear" w:color="auto" w:fill="DEEBF6"/>
          </w:tcPr>
          <w:p w:rsidR="00A579C3" w:rsidRPr="009277F1" w:rsidRDefault="00A579C3" w:rsidP="009277F1">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47" w:hanging="247"/>
              <w:contextualSpacing/>
            </w:pPr>
            <w:r w:rsidRPr="009277F1">
              <w:t>Summarizes the problem, and the company’s culture as presented in the scenario. Describes any changes that might be necessary and that will pertain to the type of personality the new president will need to have.</w:t>
            </w:r>
          </w:p>
          <w:p w:rsidR="00A579C3" w:rsidRPr="009277F1" w:rsidRDefault="00A579C3" w:rsidP="00FA02CF">
            <w:pPr>
              <w:widowControl/>
              <w:spacing w:after="0" w:line="240" w:lineRule="auto"/>
              <w:ind w:left="687"/>
              <w:contextualSpacing/>
            </w:pPr>
          </w:p>
        </w:tc>
        <w:tc>
          <w:tcPr>
            <w:tcW w:w="1170" w:type="dxa"/>
            <w:shd w:val="clear" w:color="auto" w:fill="DEEBF6"/>
          </w:tcPr>
          <w:p w:rsidR="00A579C3" w:rsidRDefault="00A579C3" w:rsidP="007F34FE">
            <w:pPr>
              <w:widowControl/>
              <w:spacing w:after="0" w:line="240" w:lineRule="auto"/>
            </w:pPr>
          </w:p>
        </w:tc>
        <w:tc>
          <w:tcPr>
            <w:tcW w:w="1440" w:type="dxa"/>
            <w:shd w:val="clear" w:color="auto" w:fill="DEEBF6"/>
          </w:tcPr>
          <w:p w:rsidR="00A579C3" w:rsidRDefault="00A579C3" w:rsidP="008A5376">
            <w:pPr>
              <w:widowControl/>
              <w:spacing w:after="0" w:line="240" w:lineRule="auto"/>
              <w:jc w:val="center"/>
            </w:pPr>
            <w:r>
              <w:t>1</w:t>
            </w:r>
            <w:r w:rsidR="008A5376">
              <w:t>6</w:t>
            </w:r>
          </w:p>
        </w:tc>
        <w:tc>
          <w:tcPr>
            <w:tcW w:w="1463" w:type="dxa"/>
            <w:shd w:val="clear" w:color="auto" w:fill="DEEBF6"/>
          </w:tcPr>
          <w:p w:rsidR="00A579C3" w:rsidRDefault="00A579C3" w:rsidP="007F34FE">
            <w:pPr>
              <w:widowControl/>
              <w:spacing w:after="0" w:line="240" w:lineRule="auto"/>
            </w:pPr>
          </w:p>
        </w:tc>
      </w:tr>
      <w:tr w:rsidR="00A579C3" w:rsidTr="008A5376">
        <w:trPr>
          <w:trHeight w:val="580"/>
        </w:trPr>
        <w:tc>
          <w:tcPr>
            <w:tcW w:w="4945" w:type="dxa"/>
            <w:shd w:val="clear" w:color="auto" w:fill="DEEBF6"/>
          </w:tcPr>
          <w:p w:rsidR="00A579C3" w:rsidRPr="009277F1" w:rsidRDefault="00A579C3" w:rsidP="009277F1">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47" w:hanging="247"/>
              <w:contextualSpacing/>
            </w:pPr>
            <w:r w:rsidRPr="009277F1">
              <w:t>Explains the traits and personality factors that should be considered when selecting the next president using the Reading from Chapter 5. Include</w:t>
            </w:r>
            <w:r>
              <w:t>s</w:t>
            </w:r>
            <w:r w:rsidRPr="009277F1">
              <w:t xml:space="preserve"> the Big Five personality traits, Holland’s typology, and at least one other personality theory in </w:t>
            </w:r>
            <w:r>
              <w:t xml:space="preserve">his/her </w:t>
            </w:r>
            <w:r w:rsidRPr="009277F1">
              <w:t>response (</w:t>
            </w:r>
            <w:r>
              <w:t xml:space="preserve">if </w:t>
            </w:r>
            <w:r w:rsidRPr="009277F1">
              <w:t>us</w:t>
            </w:r>
            <w:r>
              <w:t>ing</w:t>
            </w:r>
            <w:r w:rsidRPr="009277F1">
              <w:t xml:space="preserve"> the Internet</w:t>
            </w:r>
            <w:r>
              <w:t>,</w:t>
            </w:r>
            <w:r w:rsidRPr="009277F1">
              <w:t xml:space="preserve"> provide</w:t>
            </w:r>
            <w:r>
              <w:t>s</w:t>
            </w:r>
            <w:r w:rsidRPr="009277F1">
              <w:t xml:space="preserve"> the source url).</w:t>
            </w:r>
          </w:p>
          <w:p w:rsidR="00A579C3" w:rsidRPr="009277F1" w:rsidRDefault="00A579C3" w:rsidP="009277F1">
            <w:pPr>
              <w:pStyle w:val="ListParagraph"/>
              <w:widowControl/>
              <w:spacing w:after="0" w:line="240" w:lineRule="auto"/>
              <w:ind w:left="1057"/>
            </w:pPr>
          </w:p>
        </w:tc>
        <w:tc>
          <w:tcPr>
            <w:tcW w:w="1170" w:type="dxa"/>
            <w:shd w:val="clear" w:color="auto" w:fill="DEEBF6"/>
          </w:tcPr>
          <w:p w:rsidR="00A579C3" w:rsidRDefault="00A579C3" w:rsidP="007F34FE">
            <w:pPr>
              <w:widowControl/>
              <w:spacing w:after="0" w:line="240" w:lineRule="auto"/>
            </w:pPr>
          </w:p>
        </w:tc>
        <w:tc>
          <w:tcPr>
            <w:tcW w:w="1440" w:type="dxa"/>
            <w:shd w:val="clear" w:color="auto" w:fill="DEEBF6"/>
          </w:tcPr>
          <w:p w:rsidR="00A579C3" w:rsidRDefault="00A579C3" w:rsidP="007F34FE">
            <w:pPr>
              <w:widowControl/>
              <w:spacing w:after="0" w:line="240" w:lineRule="auto"/>
              <w:jc w:val="center"/>
            </w:pPr>
            <w:r>
              <w:t>1</w:t>
            </w:r>
            <w:r w:rsidR="008A5376">
              <w:t>6</w:t>
            </w:r>
          </w:p>
          <w:p w:rsidR="00A579C3" w:rsidRDefault="00A579C3" w:rsidP="007F34FE">
            <w:pPr>
              <w:widowControl/>
              <w:spacing w:after="0" w:line="240" w:lineRule="auto"/>
            </w:pPr>
          </w:p>
          <w:p w:rsidR="00A579C3" w:rsidRDefault="00A579C3" w:rsidP="007F34FE">
            <w:pPr>
              <w:widowControl/>
              <w:spacing w:after="0" w:line="240" w:lineRule="auto"/>
            </w:pPr>
          </w:p>
        </w:tc>
        <w:tc>
          <w:tcPr>
            <w:tcW w:w="1463" w:type="dxa"/>
            <w:shd w:val="clear" w:color="auto" w:fill="DEEBF6"/>
          </w:tcPr>
          <w:p w:rsidR="00A579C3" w:rsidRDefault="00A579C3" w:rsidP="007F34FE">
            <w:pPr>
              <w:widowControl/>
              <w:spacing w:after="0" w:line="240" w:lineRule="auto"/>
            </w:pPr>
          </w:p>
        </w:tc>
      </w:tr>
      <w:tr w:rsidR="00A579C3" w:rsidTr="008A5376">
        <w:trPr>
          <w:trHeight w:val="580"/>
        </w:trPr>
        <w:tc>
          <w:tcPr>
            <w:tcW w:w="4945" w:type="dxa"/>
            <w:shd w:val="clear" w:color="auto" w:fill="DEEBF6"/>
          </w:tcPr>
          <w:p w:rsidR="00A579C3" w:rsidRDefault="00A579C3" w:rsidP="009277F1">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47" w:hanging="247"/>
              <w:contextualSpacing/>
            </w:pPr>
            <w:r>
              <w:t>Explains how the personality he/she described previously of the new president would benefit the employees and the success of the company going forward.</w:t>
            </w:r>
          </w:p>
          <w:p w:rsidR="00A579C3" w:rsidRDefault="00A579C3" w:rsidP="009277F1">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left="247"/>
              <w:contextualSpacing/>
            </w:pPr>
          </w:p>
        </w:tc>
        <w:tc>
          <w:tcPr>
            <w:tcW w:w="1170" w:type="dxa"/>
            <w:shd w:val="clear" w:color="auto" w:fill="DEEBF6"/>
          </w:tcPr>
          <w:p w:rsidR="00A579C3" w:rsidRDefault="00A579C3" w:rsidP="007F34FE">
            <w:pPr>
              <w:widowControl/>
              <w:spacing w:after="0" w:line="240" w:lineRule="auto"/>
            </w:pPr>
          </w:p>
        </w:tc>
        <w:tc>
          <w:tcPr>
            <w:tcW w:w="1440" w:type="dxa"/>
            <w:shd w:val="clear" w:color="auto" w:fill="DEEBF6"/>
          </w:tcPr>
          <w:p w:rsidR="00A579C3" w:rsidRDefault="00A579C3" w:rsidP="008A5376">
            <w:pPr>
              <w:widowControl/>
              <w:spacing w:after="0" w:line="240" w:lineRule="auto"/>
              <w:jc w:val="center"/>
            </w:pPr>
            <w:r>
              <w:t>1</w:t>
            </w:r>
            <w:r w:rsidR="008A5376">
              <w:t>6</w:t>
            </w:r>
          </w:p>
        </w:tc>
        <w:tc>
          <w:tcPr>
            <w:tcW w:w="1463" w:type="dxa"/>
            <w:shd w:val="clear" w:color="auto" w:fill="DEEBF6"/>
          </w:tcPr>
          <w:p w:rsidR="00A579C3" w:rsidRDefault="00A579C3" w:rsidP="007F34FE">
            <w:pPr>
              <w:widowControl/>
              <w:spacing w:after="0" w:line="240" w:lineRule="auto"/>
            </w:pPr>
          </w:p>
        </w:tc>
      </w:tr>
      <w:tr w:rsidR="00A579C3" w:rsidTr="008A5376">
        <w:tc>
          <w:tcPr>
            <w:tcW w:w="4945" w:type="dxa"/>
            <w:shd w:val="clear" w:color="auto" w:fill="DEEBF6"/>
          </w:tcPr>
          <w:p w:rsidR="00A579C3" w:rsidRDefault="00A579C3" w:rsidP="004D3100">
            <w:pPr>
              <w:ind w:left="180"/>
              <w:jc w:val="right"/>
            </w:pPr>
            <w:r w:rsidRPr="00776C9A">
              <w:rPr>
                <w:b/>
                <w:color w:val="auto"/>
              </w:rPr>
              <w:t>Subtotal:</w:t>
            </w:r>
          </w:p>
        </w:tc>
        <w:tc>
          <w:tcPr>
            <w:tcW w:w="1170" w:type="dxa"/>
            <w:shd w:val="clear" w:color="auto" w:fill="DEEBF6"/>
          </w:tcPr>
          <w:p w:rsidR="00A579C3" w:rsidRDefault="00A579C3" w:rsidP="007F34FE">
            <w:pPr>
              <w:widowControl/>
              <w:spacing w:after="0" w:line="240" w:lineRule="auto"/>
            </w:pPr>
          </w:p>
        </w:tc>
        <w:tc>
          <w:tcPr>
            <w:tcW w:w="1440" w:type="dxa"/>
            <w:shd w:val="clear" w:color="auto" w:fill="DEEBF6"/>
          </w:tcPr>
          <w:p w:rsidR="00A579C3" w:rsidRDefault="00A579C3" w:rsidP="001436D1">
            <w:pPr>
              <w:widowControl/>
              <w:tabs>
                <w:tab w:val="left" w:pos="570"/>
                <w:tab w:val="center" w:pos="702"/>
              </w:tabs>
              <w:spacing w:after="0" w:line="240" w:lineRule="auto"/>
              <w:jc w:val="center"/>
            </w:pPr>
            <w:r>
              <w:t>48</w:t>
            </w:r>
          </w:p>
        </w:tc>
        <w:tc>
          <w:tcPr>
            <w:tcW w:w="1463" w:type="dxa"/>
            <w:shd w:val="clear" w:color="auto" w:fill="DEEBF6"/>
          </w:tcPr>
          <w:p w:rsidR="00A579C3" w:rsidRDefault="00A579C3" w:rsidP="007F34FE">
            <w:pPr>
              <w:widowControl/>
              <w:spacing w:after="0" w:line="240" w:lineRule="auto"/>
            </w:pPr>
          </w:p>
        </w:tc>
      </w:tr>
      <w:tr w:rsidR="00A579C3" w:rsidTr="008A5376">
        <w:tc>
          <w:tcPr>
            <w:tcW w:w="4945" w:type="dxa"/>
            <w:shd w:val="clear" w:color="auto" w:fill="DEEBF6"/>
          </w:tcPr>
          <w:p w:rsidR="00A579C3" w:rsidRDefault="00A579C3" w:rsidP="009277F1">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hanging="23"/>
            </w:pPr>
            <w:r>
              <w:t>Uses correct spelling and grammar in an 8–10 slide PowerPoint® presentation with no more than five bulleted items per slide, in 24-point font, with either</w:t>
            </w:r>
            <w:hyperlink r:id="rId5">
              <w:r>
                <w:t xml:space="preserve"> </w:t>
              </w:r>
            </w:hyperlink>
            <w:r w:rsidRPr="00D83768">
              <w:rPr>
                <w:color w:val="auto"/>
                <w:u w:val="single"/>
              </w:rPr>
              <w:t>audio</w:t>
            </w:r>
            <w:r w:rsidRPr="00D83768">
              <w:rPr>
                <w:color w:val="auto"/>
              </w:rPr>
              <w:t xml:space="preserve"> </w:t>
            </w:r>
            <w:r>
              <w:t xml:space="preserve">(or speaker </w:t>
            </w:r>
            <w:r w:rsidRPr="00D83768">
              <w:rPr>
                <w:color w:val="auto"/>
                <w:u w:val="single"/>
              </w:rPr>
              <w:t>notes</w:t>
            </w:r>
            <w:hyperlink r:id="rId6">
              <w:r w:rsidRPr="00D83768">
                <w:rPr>
                  <w:color w:val="1155CC"/>
                  <w:u w:val="single"/>
                </w:rPr>
                <w:t xml:space="preserve"> </w:t>
              </w:r>
            </w:hyperlink>
            <w:r>
              <w:t xml:space="preserve">below each slide) </w:t>
            </w:r>
            <w:r w:rsidRPr="00D83768">
              <w:t>with additional title and reference slides</w:t>
            </w:r>
            <w:r>
              <w:t xml:space="preserve"> to the Dropbox. </w:t>
            </w:r>
          </w:p>
          <w:p w:rsidR="00A579C3" w:rsidRPr="00776C9A" w:rsidRDefault="00A579C3" w:rsidP="001436D1">
            <w:pPr>
              <w:widowControl/>
              <w:spacing w:after="0" w:line="240" w:lineRule="auto"/>
              <w:jc w:val="right"/>
            </w:pPr>
            <w:r w:rsidRPr="00776C9A">
              <w:rPr>
                <w:color w:val="1F4E79" w:themeColor="accent1" w:themeShade="80"/>
              </w:rPr>
              <w:t>:</w:t>
            </w:r>
          </w:p>
        </w:tc>
        <w:tc>
          <w:tcPr>
            <w:tcW w:w="1170" w:type="dxa"/>
            <w:shd w:val="clear" w:color="auto" w:fill="DEEBF6"/>
          </w:tcPr>
          <w:p w:rsidR="00A579C3" w:rsidRDefault="00A579C3" w:rsidP="007F34FE">
            <w:pPr>
              <w:widowControl/>
              <w:spacing w:after="0" w:line="240" w:lineRule="auto"/>
              <w:jc w:val="center"/>
            </w:pPr>
            <w:r>
              <w:t>20%</w:t>
            </w:r>
          </w:p>
        </w:tc>
        <w:tc>
          <w:tcPr>
            <w:tcW w:w="1440" w:type="dxa"/>
            <w:shd w:val="clear" w:color="auto" w:fill="DEEBF6"/>
          </w:tcPr>
          <w:p w:rsidR="00A579C3" w:rsidRDefault="00A579C3" w:rsidP="00A579C3">
            <w:pPr>
              <w:widowControl/>
              <w:spacing w:after="0" w:line="240" w:lineRule="auto"/>
              <w:ind w:left="-18"/>
              <w:jc w:val="center"/>
            </w:pPr>
            <w:r>
              <w:t>12</w:t>
            </w:r>
          </w:p>
        </w:tc>
        <w:tc>
          <w:tcPr>
            <w:tcW w:w="1463" w:type="dxa"/>
            <w:shd w:val="clear" w:color="auto" w:fill="DEEBF6"/>
          </w:tcPr>
          <w:p w:rsidR="00A579C3" w:rsidRDefault="00A579C3" w:rsidP="007F34FE">
            <w:pPr>
              <w:widowControl/>
              <w:spacing w:after="0" w:line="240" w:lineRule="auto"/>
            </w:pPr>
          </w:p>
        </w:tc>
      </w:tr>
      <w:tr w:rsidR="00A579C3" w:rsidTr="008A5376">
        <w:trPr>
          <w:trHeight w:val="320"/>
        </w:trPr>
        <w:tc>
          <w:tcPr>
            <w:tcW w:w="4945" w:type="dxa"/>
            <w:shd w:val="clear" w:color="auto" w:fill="DEEBF6"/>
          </w:tcPr>
          <w:p w:rsidR="00A579C3" w:rsidRPr="000D1EA9" w:rsidRDefault="000D1EA9" w:rsidP="007F34FE">
            <w:pPr>
              <w:widowControl/>
              <w:spacing w:after="0" w:line="240" w:lineRule="auto"/>
              <w:jc w:val="right"/>
              <w:rPr>
                <w:b/>
              </w:rPr>
            </w:pPr>
            <w:r w:rsidRPr="000D1EA9">
              <w:rPr>
                <w:b/>
                <w:color w:val="auto"/>
              </w:rPr>
              <w:t>Subtotal:</w:t>
            </w:r>
          </w:p>
        </w:tc>
        <w:tc>
          <w:tcPr>
            <w:tcW w:w="1170" w:type="dxa"/>
            <w:shd w:val="clear" w:color="auto" w:fill="DEEBF6"/>
          </w:tcPr>
          <w:p w:rsidR="00A579C3" w:rsidRDefault="00A579C3" w:rsidP="007F34FE">
            <w:pPr>
              <w:widowControl/>
              <w:spacing w:after="0" w:line="240" w:lineRule="auto"/>
            </w:pPr>
          </w:p>
        </w:tc>
        <w:tc>
          <w:tcPr>
            <w:tcW w:w="1440" w:type="dxa"/>
            <w:shd w:val="clear" w:color="auto" w:fill="DEEBF6"/>
          </w:tcPr>
          <w:p w:rsidR="00A579C3" w:rsidRDefault="00A579C3" w:rsidP="007F34FE">
            <w:pPr>
              <w:widowControl/>
              <w:spacing w:after="0" w:line="240" w:lineRule="auto"/>
              <w:jc w:val="center"/>
            </w:pPr>
          </w:p>
        </w:tc>
        <w:tc>
          <w:tcPr>
            <w:tcW w:w="1463" w:type="dxa"/>
            <w:shd w:val="clear" w:color="auto" w:fill="DEEBF6"/>
          </w:tcPr>
          <w:p w:rsidR="00A579C3" w:rsidRDefault="00A579C3" w:rsidP="007F34FE">
            <w:pPr>
              <w:widowControl/>
              <w:spacing w:after="0" w:line="240" w:lineRule="auto"/>
            </w:pPr>
          </w:p>
        </w:tc>
      </w:tr>
      <w:tr w:rsidR="00A579C3" w:rsidTr="008A5376">
        <w:tc>
          <w:tcPr>
            <w:tcW w:w="4945" w:type="dxa"/>
            <w:shd w:val="clear" w:color="auto" w:fill="DEEBF6"/>
          </w:tcPr>
          <w:p w:rsidR="00A579C3" w:rsidRDefault="00A579C3" w:rsidP="007F34FE">
            <w:pPr>
              <w:widowControl/>
              <w:spacing w:after="0" w:line="240" w:lineRule="auto"/>
              <w:rPr>
                <w:b/>
              </w:rPr>
            </w:pPr>
            <w:r>
              <w:rPr>
                <w:b/>
              </w:rPr>
              <w:t>Total Assignment Score:</w:t>
            </w:r>
          </w:p>
          <w:p w:rsidR="00A579C3" w:rsidRDefault="00A579C3" w:rsidP="007F34FE">
            <w:pPr>
              <w:widowControl/>
              <w:spacing w:after="0" w:line="240" w:lineRule="auto"/>
              <w:rPr>
                <w:b/>
              </w:rPr>
            </w:pPr>
          </w:p>
        </w:tc>
        <w:tc>
          <w:tcPr>
            <w:tcW w:w="1170" w:type="dxa"/>
            <w:shd w:val="clear" w:color="auto" w:fill="DEEBF6"/>
          </w:tcPr>
          <w:p w:rsidR="00A579C3" w:rsidRPr="008F021B" w:rsidRDefault="00A579C3" w:rsidP="007F34FE">
            <w:pPr>
              <w:widowControl/>
              <w:spacing w:after="0" w:line="240" w:lineRule="auto"/>
              <w:jc w:val="center"/>
              <w:rPr>
                <w:b/>
              </w:rPr>
            </w:pPr>
            <w:r w:rsidRPr="008F021B">
              <w:rPr>
                <w:b/>
              </w:rPr>
              <w:t>100%</w:t>
            </w:r>
          </w:p>
        </w:tc>
        <w:tc>
          <w:tcPr>
            <w:tcW w:w="1440" w:type="dxa"/>
            <w:shd w:val="clear" w:color="auto" w:fill="DEEBF6"/>
          </w:tcPr>
          <w:p w:rsidR="00A579C3" w:rsidRPr="008F021B" w:rsidRDefault="00A579C3" w:rsidP="001436D1">
            <w:pPr>
              <w:widowControl/>
              <w:spacing w:after="0" w:line="240" w:lineRule="auto"/>
              <w:jc w:val="center"/>
              <w:rPr>
                <w:b/>
              </w:rPr>
            </w:pPr>
            <w:r w:rsidRPr="008F021B">
              <w:rPr>
                <w:b/>
              </w:rPr>
              <w:t xml:space="preserve">Total </w:t>
            </w:r>
            <w:r w:rsidR="009D51B1">
              <w:rPr>
                <w:b/>
              </w:rPr>
              <w:t xml:space="preserve">points </w:t>
            </w:r>
            <w:r w:rsidRPr="008F021B">
              <w:rPr>
                <w:b/>
              </w:rPr>
              <w:t xml:space="preserve">possible: </w:t>
            </w:r>
            <w:r>
              <w:rPr>
                <w:b/>
              </w:rPr>
              <w:t>6</w:t>
            </w:r>
            <w:r w:rsidRPr="008F021B">
              <w:rPr>
                <w:b/>
              </w:rPr>
              <w:t>0</w:t>
            </w:r>
          </w:p>
        </w:tc>
        <w:tc>
          <w:tcPr>
            <w:tcW w:w="1463" w:type="dxa"/>
            <w:shd w:val="clear" w:color="auto" w:fill="DEEBF6"/>
          </w:tcPr>
          <w:p w:rsidR="00A579C3" w:rsidRDefault="00A579C3" w:rsidP="007F34FE">
            <w:pPr>
              <w:widowControl/>
              <w:spacing w:after="0" w:line="240" w:lineRule="auto"/>
            </w:pPr>
          </w:p>
        </w:tc>
      </w:tr>
    </w:tbl>
    <w:p w:rsidR="005F431E" w:rsidRDefault="005F431E" w:rsidP="005F431E">
      <w:pPr>
        <w:spacing w:after="0" w:line="240" w:lineRule="auto"/>
        <w:contextualSpacing/>
      </w:pPr>
      <w:bookmarkStart w:id="0" w:name="_GoBack"/>
      <w:bookmarkEnd w:id="0"/>
    </w:p>
    <w:p w:rsidR="005F431E" w:rsidRDefault="005F431E" w:rsidP="005F431E">
      <w:pPr>
        <w:spacing w:after="0"/>
      </w:pPr>
    </w:p>
    <w:p w:rsidR="00F172C5" w:rsidRDefault="00F172C5"/>
    <w:sectPr w:rsidR="00F17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97801"/>
    <w:multiLevelType w:val="multilevel"/>
    <w:tmpl w:val="53681444"/>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2B02CA"/>
    <w:multiLevelType w:val="multilevel"/>
    <w:tmpl w:val="1212963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6CA47A8"/>
    <w:multiLevelType w:val="multilevel"/>
    <w:tmpl w:val="96FA59F2"/>
    <w:lvl w:ilvl="0">
      <w:start w:val="1"/>
      <w:numFmt w:val="bullet"/>
      <w:lvlText w:val="●"/>
      <w:lvlJc w:val="left"/>
      <w:pPr>
        <w:ind w:left="687" w:hanging="360"/>
      </w:pPr>
      <w:rPr>
        <w:rFonts w:ascii="Noto Sans Symbols" w:eastAsia="Noto Sans Symbols" w:hAnsi="Noto Sans Symbols" w:cs="Noto Sans Symbols"/>
        <w:sz w:val="18"/>
        <w:szCs w:val="18"/>
      </w:rPr>
    </w:lvl>
    <w:lvl w:ilvl="1">
      <w:start w:val="1"/>
      <w:numFmt w:val="bullet"/>
      <w:lvlText w:val="o"/>
      <w:lvlJc w:val="left"/>
      <w:pPr>
        <w:ind w:left="1407" w:hanging="360"/>
      </w:pPr>
      <w:rPr>
        <w:rFonts w:ascii="Courier New" w:eastAsia="Courier New" w:hAnsi="Courier New" w:cs="Courier New"/>
      </w:rPr>
    </w:lvl>
    <w:lvl w:ilvl="2">
      <w:start w:val="1"/>
      <w:numFmt w:val="bullet"/>
      <w:lvlText w:val="▪"/>
      <w:lvlJc w:val="left"/>
      <w:pPr>
        <w:ind w:left="2127" w:hanging="360"/>
      </w:pPr>
      <w:rPr>
        <w:rFonts w:ascii="Noto Sans Symbols" w:eastAsia="Noto Sans Symbols" w:hAnsi="Noto Sans Symbols" w:cs="Noto Sans Symbols"/>
      </w:rPr>
    </w:lvl>
    <w:lvl w:ilvl="3">
      <w:start w:val="1"/>
      <w:numFmt w:val="bullet"/>
      <w:lvlText w:val="●"/>
      <w:lvlJc w:val="left"/>
      <w:pPr>
        <w:ind w:left="2847" w:hanging="360"/>
      </w:pPr>
      <w:rPr>
        <w:rFonts w:ascii="Noto Sans Symbols" w:eastAsia="Noto Sans Symbols" w:hAnsi="Noto Sans Symbols" w:cs="Noto Sans Symbols"/>
      </w:rPr>
    </w:lvl>
    <w:lvl w:ilvl="4">
      <w:start w:val="1"/>
      <w:numFmt w:val="bullet"/>
      <w:lvlText w:val="o"/>
      <w:lvlJc w:val="left"/>
      <w:pPr>
        <w:ind w:left="3567" w:hanging="360"/>
      </w:pPr>
      <w:rPr>
        <w:rFonts w:ascii="Courier New" w:eastAsia="Courier New" w:hAnsi="Courier New" w:cs="Courier New"/>
      </w:rPr>
    </w:lvl>
    <w:lvl w:ilvl="5">
      <w:start w:val="1"/>
      <w:numFmt w:val="bullet"/>
      <w:lvlText w:val="▪"/>
      <w:lvlJc w:val="left"/>
      <w:pPr>
        <w:ind w:left="4287" w:hanging="360"/>
      </w:pPr>
      <w:rPr>
        <w:rFonts w:ascii="Noto Sans Symbols" w:eastAsia="Noto Sans Symbols" w:hAnsi="Noto Sans Symbols" w:cs="Noto Sans Symbols"/>
      </w:rPr>
    </w:lvl>
    <w:lvl w:ilvl="6">
      <w:start w:val="1"/>
      <w:numFmt w:val="bullet"/>
      <w:lvlText w:val="●"/>
      <w:lvlJc w:val="left"/>
      <w:pPr>
        <w:ind w:left="5007" w:hanging="360"/>
      </w:pPr>
      <w:rPr>
        <w:rFonts w:ascii="Noto Sans Symbols" w:eastAsia="Noto Sans Symbols" w:hAnsi="Noto Sans Symbols" w:cs="Noto Sans Symbols"/>
      </w:rPr>
    </w:lvl>
    <w:lvl w:ilvl="7">
      <w:start w:val="1"/>
      <w:numFmt w:val="bullet"/>
      <w:lvlText w:val="o"/>
      <w:lvlJc w:val="left"/>
      <w:pPr>
        <w:ind w:left="5727" w:hanging="360"/>
      </w:pPr>
      <w:rPr>
        <w:rFonts w:ascii="Courier New" w:eastAsia="Courier New" w:hAnsi="Courier New" w:cs="Courier New"/>
      </w:rPr>
    </w:lvl>
    <w:lvl w:ilvl="8">
      <w:start w:val="1"/>
      <w:numFmt w:val="bullet"/>
      <w:lvlText w:val="▪"/>
      <w:lvlJc w:val="left"/>
      <w:pPr>
        <w:ind w:left="6447" w:hanging="360"/>
      </w:pPr>
      <w:rPr>
        <w:rFonts w:ascii="Noto Sans Symbols" w:eastAsia="Noto Sans Symbols" w:hAnsi="Noto Sans Symbols" w:cs="Noto Sans Symbols"/>
      </w:rPr>
    </w:lvl>
  </w:abstractNum>
  <w:abstractNum w:abstractNumId="3" w15:restartNumberingAfterBreak="0">
    <w:nsid w:val="6DE77FE7"/>
    <w:multiLevelType w:val="hybridMultilevel"/>
    <w:tmpl w:val="0FB2A524"/>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4" w15:restartNumberingAfterBreak="0">
    <w:nsid w:val="76FC6BAA"/>
    <w:multiLevelType w:val="multilevel"/>
    <w:tmpl w:val="0F940B66"/>
    <w:lvl w:ilvl="0">
      <w:start w:val="1"/>
      <w:numFmt w:val="bullet"/>
      <w:lvlText w:val="●"/>
      <w:lvlJc w:val="left"/>
      <w:pPr>
        <w:ind w:left="1440" w:hanging="360"/>
      </w:pPr>
      <w:rPr>
        <w:rFonts w:ascii="Noto Sans Symbols" w:eastAsia="Noto Sans Symbols" w:hAnsi="Noto Sans Symbols" w:cs="Noto Sans Symbols"/>
        <w:sz w:val="18"/>
        <w:szCs w:val="18"/>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C5"/>
    <w:rsid w:val="00036CBA"/>
    <w:rsid w:val="000C576A"/>
    <w:rsid w:val="000D1EA9"/>
    <w:rsid w:val="001436D1"/>
    <w:rsid w:val="004718D8"/>
    <w:rsid w:val="004D3100"/>
    <w:rsid w:val="005F431E"/>
    <w:rsid w:val="006159C3"/>
    <w:rsid w:val="006F341C"/>
    <w:rsid w:val="00776C9A"/>
    <w:rsid w:val="008A5376"/>
    <w:rsid w:val="009277F1"/>
    <w:rsid w:val="00967AE1"/>
    <w:rsid w:val="009D51B1"/>
    <w:rsid w:val="00A1381E"/>
    <w:rsid w:val="00A579C3"/>
    <w:rsid w:val="00B655DA"/>
    <w:rsid w:val="00B6591D"/>
    <w:rsid w:val="00D83768"/>
    <w:rsid w:val="00DE05C4"/>
    <w:rsid w:val="00F172C5"/>
    <w:rsid w:val="00F36C17"/>
    <w:rsid w:val="00FA0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AD719-F1EE-49CE-A0F7-B1D1E747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72C5"/>
    <w:pPr>
      <w:widowControl w:val="0"/>
      <w:pBdr>
        <w:top w:val="nil"/>
        <w:left w:val="nil"/>
        <w:bottom w:val="nil"/>
        <w:right w:val="nil"/>
        <w:between w:val="nil"/>
      </w:pBdr>
      <w:spacing w:after="200" w:line="276" w:lineRule="auto"/>
    </w:pPr>
    <w:rPr>
      <w:rFonts w:eastAsia="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pextmediassl-a.akamaihd.net/business/Media/MT302/MESH/PowerPointNotesPane.png" TargetMode="External"/><Relationship Id="rId5" Type="http://schemas.openxmlformats.org/officeDocument/2006/relationships/hyperlink" Target="https://kapextmediassl-a.akamaihd.net/business/MT302/mt302_1803b/adding_audio_ppts.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Scott Valdez</dc:creator>
  <cp:keywords/>
  <dc:description/>
  <cp:lastModifiedBy>Dee Scott Valdez</cp:lastModifiedBy>
  <cp:revision>4</cp:revision>
  <dcterms:created xsi:type="dcterms:W3CDTF">2018-11-19T17:05:00Z</dcterms:created>
  <dcterms:modified xsi:type="dcterms:W3CDTF">2019-10-22T20:36:00Z</dcterms:modified>
</cp:coreProperties>
</file>