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MT302 Unit 5 Assignment Grading Rubric"/>
        <w:tblDescription w:val="There are four columns: Criteria; Percent possible; Points possible; points earned"/>
      </w:tblPr>
      <w:tblGrid>
        <w:gridCol w:w="5125"/>
        <w:gridCol w:w="1170"/>
        <w:gridCol w:w="1440"/>
        <w:gridCol w:w="1530"/>
      </w:tblGrid>
      <w:tr w:rsidR="00C8131C" w:rsidTr="002E1AF7">
        <w:trPr>
          <w:tblHeader/>
        </w:trPr>
        <w:tc>
          <w:tcPr>
            <w:tcW w:w="5125" w:type="dxa"/>
            <w:shd w:val="clear" w:color="auto" w:fill="DEEBF6"/>
          </w:tcPr>
          <w:p w:rsidR="00C8131C" w:rsidRDefault="00C8131C" w:rsidP="001F294C">
            <w:pPr>
              <w:widowControl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Unit </w:t>
            </w:r>
            <w:r w:rsidR="001F294C">
              <w:rPr>
                <w:b/>
              </w:rPr>
              <w:t>5</w:t>
            </w:r>
            <w:r>
              <w:rPr>
                <w:b/>
              </w:rPr>
              <w:t xml:space="preserve"> Assignment</w:t>
            </w:r>
            <w:r w:rsidR="002E1AF7">
              <w:rPr>
                <w:b/>
              </w:rPr>
              <w:t xml:space="preserve"> Grading Rubric</w:t>
            </w:r>
          </w:p>
          <w:p w:rsidR="002E1AF7" w:rsidRDefault="002E1AF7" w:rsidP="001F294C">
            <w:pPr>
              <w:widowControl/>
              <w:spacing w:after="0" w:line="240" w:lineRule="auto"/>
              <w:rPr>
                <w:b/>
              </w:rPr>
            </w:pPr>
            <w:r>
              <w:rPr>
                <w:b/>
              </w:rPr>
              <w:t>Criteria:</w:t>
            </w:r>
          </w:p>
        </w:tc>
        <w:tc>
          <w:tcPr>
            <w:tcW w:w="1170" w:type="dxa"/>
            <w:shd w:val="clear" w:color="auto" w:fill="DEEBF6"/>
          </w:tcPr>
          <w:p w:rsidR="00C8131C" w:rsidRPr="008F021B" w:rsidRDefault="00C8131C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>Percent possible</w:t>
            </w:r>
          </w:p>
        </w:tc>
        <w:tc>
          <w:tcPr>
            <w:tcW w:w="1440" w:type="dxa"/>
            <w:shd w:val="clear" w:color="auto" w:fill="DEEBF6"/>
          </w:tcPr>
          <w:p w:rsidR="00C8131C" w:rsidRPr="008F021B" w:rsidRDefault="00C8131C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>Points possible</w:t>
            </w:r>
          </w:p>
        </w:tc>
        <w:tc>
          <w:tcPr>
            <w:tcW w:w="1530" w:type="dxa"/>
            <w:shd w:val="clear" w:color="auto" w:fill="DEEBF6"/>
          </w:tcPr>
          <w:p w:rsidR="00C8131C" w:rsidRPr="008F021B" w:rsidRDefault="00C8131C" w:rsidP="002E1AF7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 xml:space="preserve">Points </w:t>
            </w:r>
            <w:r w:rsidR="002E1AF7">
              <w:rPr>
                <w:b/>
              </w:rPr>
              <w:t>e</w:t>
            </w:r>
            <w:r w:rsidRPr="008F021B">
              <w:rPr>
                <w:b/>
              </w:rPr>
              <w:t>arned</w:t>
            </w:r>
          </w:p>
        </w:tc>
      </w:tr>
      <w:tr w:rsidR="00C8131C" w:rsidTr="00C8131C">
        <w:tc>
          <w:tcPr>
            <w:tcW w:w="5125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DEEBF6"/>
          </w:tcPr>
          <w:p w:rsidR="00C8131C" w:rsidRPr="008F021B" w:rsidRDefault="00C8131C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>100%</w:t>
            </w:r>
          </w:p>
        </w:tc>
        <w:tc>
          <w:tcPr>
            <w:tcW w:w="1440" w:type="dxa"/>
            <w:shd w:val="clear" w:color="auto" w:fill="DEEBF6"/>
          </w:tcPr>
          <w:p w:rsidR="00C8131C" w:rsidRPr="008F021B" w:rsidRDefault="00C8131C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30" w:type="dxa"/>
            <w:shd w:val="clear" w:color="auto" w:fill="DEEBF6"/>
          </w:tcPr>
          <w:p w:rsidR="00C8131C" w:rsidRPr="008F021B" w:rsidRDefault="00C8131C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  <w:tr w:rsidR="00C8131C" w:rsidTr="00C8131C">
        <w:trPr>
          <w:trHeight w:val="1000"/>
        </w:trPr>
        <w:tc>
          <w:tcPr>
            <w:tcW w:w="5125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  <w:r>
              <w:t>Response to the scenario provides complete information demonstrating analysis and critical thinking:</w:t>
            </w: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  <w:jc w:val="center"/>
            </w:pPr>
            <w:r>
              <w:t>80%</w:t>
            </w:r>
          </w:p>
        </w:tc>
        <w:tc>
          <w:tcPr>
            <w:tcW w:w="144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rPr>
          <w:trHeight w:val="500"/>
        </w:trPr>
        <w:tc>
          <w:tcPr>
            <w:tcW w:w="5125" w:type="dxa"/>
            <w:shd w:val="clear" w:color="auto" w:fill="DEEBF6"/>
          </w:tcPr>
          <w:p w:rsidR="00C8131C" w:rsidRDefault="00C8131C" w:rsidP="00C8131C">
            <w:pPr>
              <w:widowControl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37" w:hanging="270"/>
              <w:contextualSpacing/>
            </w:pPr>
            <w:r>
              <w:t>Summarizes the problems at the company that are possibly affecting employee motivation and performance.</w:t>
            </w:r>
          </w:p>
          <w:p w:rsidR="00C8131C" w:rsidRPr="009277F1" w:rsidRDefault="00C8131C" w:rsidP="00C81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37" w:hanging="270"/>
              <w:contextualSpacing/>
            </w:pP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C8131C" w:rsidRDefault="00FF7DFF" w:rsidP="009277F1">
            <w:pPr>
              <w:widowControl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rPr>
          <w:trHeight w:val="580"/>
        </w:trPr>
        <w:tc>
          <w:tcPr>
            <w:tcW w:w="5125" w:type="dxa"/>
            <w:shd w:val="clear" w:color="auto" w:fill="DEEBF6"/>
          </w:tcPr>
          <w:p w:rsidR="00C8131C" w:rsidRDefault="00C8131C" w:rsidP="00C8131C">
            <w:pPr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37" w:hanging="270"/>
              <w:contextualSpacing/>
            </w:pPr>
            <w:r>
              <w:t>Analyzes motivation theories as provided in the text and Learning Activities (providing proper attribution)</w:t>
            </w:r>
            <w:r>
              <w:rPr>
                <w:b/>
              </w:rPr>
              <w:t xml:space="preserve"> </w:t>
            </w:r>
            <w:r>
              <w:t>to explain the engineers’ lack of motivation.</w:t>
            </w:r>
          </w:p>
          <w:p w:rsidR="00C8131C" w:rsidRPr="009277F1" w:rsidRDefault="00C8131C" w:rsidP="00C8131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37" w:hanging="270"/>
              <w:contextualSpacing/>
            </w:pP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C8131C" w:rsidRDefault="00FF7DFF" w:rsidP="009277F1">
            <w:pPr>
              <w:widowControl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rPr>
          <w:trHeight w:val="580"/>
        </w:trPr>
        <w:tc>
          <w:tcPr>
            <w:tcW w:w="5125" w:type="dxa"/>
            <w:shd w:val="clear" w:color="auto" w:fill="DEEBF6"/>
          </w:tcPr>
          <w:p w:rsidR="00C8131C" w:rsidRPr="009277F1" w:rsidRDefault="00C8131C" w:rsidP="00C8131C">
            <w:pPr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37" w:hanging="270"/>
              <w:contextualSpacing/>
            </w:pPr>
            <w:r>
              <w:t>Analyzes motivation theories as provided in the text and Learning Activities (providing proper attribution)</w:t>
            </w:r>
            <w:r w:rsidRPr="00C8131C">
              <w:rPr>
                <w:b/>
              </w:rPr>
              <w:t xml:space="preserve"> </w:t>
            </w:r>
            <w:r>
              <w:t>to explain the supervisor’s, technicians’, and construction crew’s lack of motivation.</w:t>
            </w:r>
          </w:p>
          <w:p w:rsidR="00C8131C" w:rsidRPr="009277F1" w:rsidRDefault="00C8131C" w:rsidP="00C8131C">
            <w:pPr>
              <w:pStyle w:val="ListParagraph"/>
              <w:widowControl/>
              <w:spacing w:after="0" w:line="240" w:lineRule="auto"/>
              <w:ind w:left="337" w:hanging="270"/>
            </w:pP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C8131C" w:rsidRDefault="00FF7DFF" w:rsidP="007F34FE">
            <w:pPr>
              <w:widowControl/>
              <w:spacing w:after="0" w:line="240" w:lineRule="auto"/>
              <w:jc w:val="center"/>
            </w:pPr>
            <w:r>
              <w:t>12</w:t>
            </w:r>
          </w:p>
          <w:p w:rsidR="00C8131C" w:rsidRDefault="00C8131C" w:rsidP="007F34FE">
            <w:pPr>
              <w:widowControl/>
              <w:spacing w:after="0" w:line="240" w:lineRule="auto"/>
            </w:pPr>
          </w:p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rPr>
          <w:trHeight w:val="580"/>
        </w:trPr>
        <w:tc>
          <w:tcPr>
            <w:tcW w:w="5125" w:type="dxa"/>
            <w:shd w:val="clear" w:color="auto" w:fill="DEEBF6"/>
          </w:tcPr>
          <w:p w:rsidR="00C8131C" w:rsidRDefault="00C8131C" w:rsidP="00C8131C">
            <w:pPr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37" w:hanging="270"/>
              <w:contextualSpacing/>
            </w:pPr>
            <w:r>
              <w:t>Explains how the CEO and president might better motivate employees to improve performance.</w:t>
            </w:r>
          </w:p>
          <w:p w:rsidR="00C8131C" w:rsidRDefault="00C8131C" w:rsidP="00C8131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37" w:hanging="270"/>
              <w:contextualSpacing/>
            </w:pP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C8131C" w:rsidRDefault="00FF7DFF" w:rsidP="007F34FE">
            <w:pPr>
              <w:widowControl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rPr>
          <w:trHeight w:val="580"/>
        </w:trPr>
        <w:tc>
          <w:tcPr>
            <w:tcW w:w="5125" w:type="dxa"/>
            <w:shd w:val="clear" w:color="auto" w:fill="DEEBF6"/>
          </w:tcPr>
          <w:p w:rsidR="00C8131C" w:rsidRDefault="00C8131C" w:rsidP="00C8131C">
            <w:pPr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37" w:hanging="270"/>
              <w:contextualSpacing/>
            </w:pPr>
            <w:r>
              <w:t>Performing Library research, provides a short quote with the appropriate citations from each of at least two (2) scholarly* articles that integrate research into his/her analysis to provide support for claims made. These citations have accompanying references on the separate reference page following APA 6th edition format and style. The essay demonstrates a clear and sustained point of view.</w:t>
            </w:r>
          </w:p>
          <w:p w:rsidR="00B17409" w:rsidRDefault="00B17409" w:rsidP="00B1740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37"/>
              <w:contextualSpacing/>
            </w:pP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C8131C" w:rsidRDefault="00FF7DFF" w:rsidP="007F34FE">
            <w:pPr>
              <w:widowControl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c>
          <w:tcPr>
            <w:tcW w:w="5125" w:type="dxa"/>
            <w:shd w:val="clear" w:color="auto" w:fill="DEEBF6"/>
          </w:tcPr>
          <w:p w:rsidR="00C8131C" w:rsidRDefault="00C8131C" w:rsidP="00C8131C">
            <w:pPr>
              <w:spacing w:after="0" w:line="240" w:lineRule="auto"/>
              <w:ind w:left="180"/>
              <w:contextualSpacing/>
              <w:jc w:val="right"/>
              <w:rPr>
                <w:b/>
                <w:color w:val="auto"/>
              </w:rPr>
            </w:pPr>
            <w:bookmarkStart w:id="0" w:name="_GoBack"/>
            <w:bookmarkEnd w:id="0"/>
            <w:r w:rsidRPr="00776C9A">
              <w:rPr>
                <w:b/>
                <w:color w:val="auto"/>
              </w:rPr>
              <w:t>Subtotal:</w:t>
            </w:r>
          </w:p>
          <w:p w:rsidR="00B17409" w:rsidRDefault="00B17409" w:rsidP="00C8131C">
            <w:pPr>
              <w:spacing w:after="0" w:line="240" w:lineRule="auto"/>
              <w:ind w:left="180"/>
              <w:contextualSpacing/>
              <w:jc w:val="right"/>
            </w:pP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C8131C" w:rsidRPr="00C8131C" w:rsidRDefault="00C8131C" w:rsidP="001436D1">
            <w:pPr>
              <w:widowControl/>
              <w:tabs>
                <w:tab w:val="left" w:pos="570"/>
                <w:tab w:val="center" w:pos="702"/>
              </w:tabs>
              <w:spacing w:after="0" w:line="240" w:lineRule="auto"/>
              <w:jc w:val="center"/>
            </w:pPr>
            <w:r w:rsidRPr="00C8131C">
              <w:t>48</w:t>
            </w: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c>
          <w:tcPr>
            <w:tcW w:w="5125" w:type="dxa"/>
            <w:shd w:val="clear" w:color="auto" w:fill="DEEBF6"/>
          </w:tcPr>
          <w:p w:rsidR="00C8131C" w:rsidRPr="00C8131C" w:rsidRDefault="00C8131C" w:rsidP="00C8131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3"/>
              <w:contextualSpacing/>
            </w:pPr>
            <w:r>
              <w:t xml:space="preserve">Uses correct spelling and grammar in a 2–3 page expository essay using the 6th edition APA formatting </w:t>
            </w:r>
            <w:r w:rsidRPr="00C8131C">
              <w:t>with additional title and reference pages</w:t>
            </w:r>
            <w:r w:rsidR="00075B55">
              <w:t>.</w:t>
            </w:r>
          </w:p>
          <w:p w:rsidR="00C8131C" w:rsidRPr="00776C9A" w:rsidRDefault="00C8131C" w:rsidP="00C8131C">
            <w:pPr>
              <w:widowControl/>
              <w:spacing w:after="0" w:line="240" w:lineRule="auto"/>
              <w:contextualSpacing/>
              <w:jc w:val="right"/>
            </w:pP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1440" w:type="dxa"/>
            <w:shd w:val="clear" w:color="auto" w:fill="DEEBF6"/>
          </w:tcPr>
          <w:p w:rsidR="00C8131C" w:rsidRDefault="00C8131C" w:rsidP="00B17409">
            <w:pPr>
              <w:widowControl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rPr>
          <w:trHeight w:val="320"/>
        </w:trPr>
        <w:tc>
          <w:tcPr>
            <w:tcW w:w="5125" w:type="dxa"/>
            <w:shd w:val="clear" w:color="auto" w:fill="DEEBF6"/>
          </w:tcPr>
          <w:p w:rsidR="00C8131C" w:rsidRPr="00C8131C" w:rsidRDefault="00C8131C" w:rsidP="007F34FE">
            <w:pPr>
              <w:widowControl/>
              <w:spacing w:after="0" w:line="240" w:lineRule="auto"/>
              <w:jc w:val="right"/>
              <w:rPr>
                <w:b/>
              </w:rPr>
            </w:pPr>
            <w:r w:rsidRPr="00C8131C">
              <w:rPr>
                <w:b/>
                <w:color w:val="auto"/>
              </w:rPr>
              <w:t>Subtotal:</w:t>
            </w:r>
          </w:p>
        </w:tc>
        <w:tc>
          <w:tcPr>
            <w:tcW w:w="117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  <w:jc w:val="center"/>
            </w:pP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  <w:tr w:rsidR="00C8131C" w:rsidTr="00C8131C">
        <w:tc>
          <w:tcPr>
            <w:tcW w:w="5125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  <w:rPr>
                <w:b/>
              </w:rPr>
            </w:pPr>
            <w:r>
              <w:rPr>
                <w:b/>
              </w:rPr>
              <w:t>Total Assignment Score:</w:t>
            </w:r>
          </w:p>
          <w:p w:rsidR="00C8131C" w:rsidRDefault="00C8131C" w:rsidP="007F34FE">
            <w:pPr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DEEBF6"/>
          </w:tcPr>
          <w:p w:rsidR="00C8131C" w:rsidRPr="008F021B" w:rsidRDefault="00C8131C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>100%</w:t>
            </w:r>
          </w:p>
        </w:tc>
        <w:tc>
          <w:tcPr>
            <w:tcW w:w="1440" w:type="dxa"/>
            <w:shd w:val="clear" w:color="auto" w:fill="DEEBF6"/>
          </w:tcPr>
          <w:p w:rsidR="00C8131C" w:rsidRPr="008F021B" w:rsidRDefault="00C8131C" w:rsidP="001436D1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 xml:space="preserve">Total </w:t>
            </w:r>
            <w:r w:rsidR="00FB1FBC">
              <w:rPr>
                <w:b/>
              </w:rPr>
              <w:t xml:space="preserve">points </w:t>
            </w:r>
            <w:r w:rsidRPr="008F021B">
              <w:rPr>
                <w:b/>
              </w:rPr>
              <w:t xml:space="preserve">possible: </w:t>
            </w:r>
            <w:r>
              <w:rPr>
                <w:b/>
              </w:rPr>
              <w:t>6</w:t>
            </w:r>
            <w:r w:rsidRPr="008F021B"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DEEBF6"/>
          </w:tcPr>
          <w:p w:rsidR="00C8131C" w:rsidRDefault="00C8131C" w:rsidP="007F34FE">
            <w:pPr>
              <w:widowControl/>
              <w:spacing w:after="0" w:line="240" w:lineRule="auto"/>
            </w:pPr>
          </w:p>
        </w:tc>
      </w:tr>
    </w:tbl>
    <w:p w:rsidR="005F431E" w:rsidRDefault="005F431E" w:rsidP="00B17409">
      <w:pPr>
        <w:spacing w:after="0" w:line="240" w:lineRule="auto"/>
        <w:ind w:right="86"/>
        <w:contextualSpacing/>
      </w:pPr>
      <w:r>
        <w:t xml:space="preserve">*Scholarly sources have been put through a peer-review by experts to ascertain that the </w:t>
      </w:r>
      <w:r>
        <w:lastRenderedPageBreak/>
        <w:t>content is original, proves any statements or claims with viable research, etc. Select “Library” under the Academic Tools area. Then select “Limit to: Peer Reviewed” before doing your search on a</w:t>
      </w:r>
      <w:r w:rsidR="00C8131C">
        <w:t xml:space="preserve"> t</w:t>
      </w:r>
      <w:r>
        <w:t>opic.</w:t>
      </w:r>
    </w:p>
    <w:p w:rsidR="005F431E" w:rsidRDefault="005F431E" w:rsidP="00B17409">
      <w:pPr>
        <w:spacing w:after="0" w:line="240" w:lineRule="auto"/>
        <w:ind w:right="86"/>
        <w:contextualSpacing/>
      </w:pPr>
    </w:p>
    <w:p w:rsidR="00F172C5" w:rsidRDefault="00F172C5" w:rsidP="00C8131C">
      <w:pPr>
        <w:ind w:right="90"/>
      </w:pPr>
    </w:p>
    <w:sectPr w:rsidR="00F172C5" w:rsidSect="00C8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801"/>
    <w:multiLevelType w:val="multilevel"/>
    <w:tmpl w:val="53681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2B02CA"/>
    <w:multiLevelType w:val="multilevel"/>
    <w:tmpl w:val="12129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6CA47A8"/>
    <w:multiLevelType w:val="multilevel"/>
    <w:tmpl w:val="96FA59F2"/>
    <w:lvl w:ilvl="0">
      <w:start w:val="1"/>
      <w:numFmt w:val="bullet"/>
      <w:lvlText w:val="●"/>
      <w:lvlJc w:val="left"/>
      <w:pPr>
        <w:ind w:left="687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E77FE7"/>
    <w:multiLevelType w:val="hybridMultilevel"/>
    <w:tmpl w:val="0FB2A524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 w15:restartNumberingAfterBreak="0">
    <w:nsid w:val="76FC6BAA"/>
    <w:multiLevelType w:val="multilevel"/>
    <w:tmpl w:val="0F940B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7B595D"/>
    <w:multiLevelType w:val="multilevel"/>
    <w:tmpl w:val="4F2E07C2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C5"/>
    <w:rsid w:val="00036CBA"/>
    <w:rsid w:val="00075B55"/>
    <w:rsid w:val="000C0719"/>
    <w:rsid w:val="000C576A"/>
    <w:rsid w:val="001436D1"/>
    <w:rsid w:val="001C7432"/>
    <w:rsid w:val="001F294C"/>
    <w:rsid w:val="002E1AF7"/>
    <w:rsid w:val="004718D8"/>
    <w:rsid w:val="005F431E"/>
    <w:rsid w:val="00776C9A"/>
    <w:rsid w:val="009277F1"/>
    <w:rsid w:val="00967AE1"/>
    <w:rsid w:val="009E05E5"/>
    <w:rsid w:val="00B17409"/>
    <w:rsid w:val="00B655DA"/>
    <w:rsid w:val="00BA3936"/>
    <w:rsid w:val="00C8131C"/>
    <w:rsid w:val="00CA33A5"/>
    <w:rsid w:val="00D83768"/>
    <w:rsid w:val="00EB6756"/>
    <w:rsid w:val="00F172C5"/>
    <w:rsid w:val="00FA02CF"/>
    <w:rsid w:val="00FB1FB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D63D"/>
  <w15:docId w15:val="{0D796300-B3C5-46EA-9556-DB8AAB4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72C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SV for Purdue Global</cp:lastModifiedBy>
  <cp:revision>3</cp:revision>
  <dcterms:created xsi:type="dcterms:W3CDTF">2018-11-19T17:13:00Z</dcterms:created>
  <dcterms:modified xsi:type="dcterms:W3CDTF">2018-11-19T17:13:00Z</dcterms:modified>
</cp:coreProperties>
</file>