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MT302 Unit 6 Assignment Grading Rubric"/>
        <w:tblDescription w:val="There are four columns: Criteria; Percent possible; Points possible; points earned"/>
      </w:tblPr>
      <w:tblGrid>
        <w:gridCol w:w="5665"/>
        <w:gridCol w:w="1170"/>
        <w:gridCol w:w="1260"/>
        <w:gridCol w:w="1170"/>
      </w:tblGrid>
      <w:tr w:rsidR="00C8131C" w:rsidRPr="00A719B5" w:rsidTr="002C0785">
        <w:trPr>
          <w:tblHeader/>
        </w:trPr>
        <w:tc>
          <w:tcPr>
            <w:tcW w:w="5665" w:type="dxa"/>
            <w:shd w:val="clear" w:color="auto" w:fill="DEEBF6"/>
          </w:tcPr>
          <w:p w:rsidR="00C8131C" w:rsidRDefault="00C8131C" w:rsidP="002C0785">
            <w:pPr>
              <w:widowControl/>
              <w:spacing w:after="0" w:line="240" w:lineRule="auto"/>
              <w:rPr>
                <w:b/>
              </w:rPr>
            </w:pPr>
            <w:r w:rsidRPr="00A719B5">
              <w:rPr>
                <w:b/>
              </w:rPr>
              <w:t xml:space="preserve">Unit </w:t>
            </w:r>
            <w:r w:rsidR="002C0785">
              <w:rPr>
                <w:b/>
              </w:rPr>
              <w:t>6</w:t>
            </w:r>
            <w:r w:rsidR="002C0785" w:rsidRPr="00A719B5">
              <w:rPr>
                <w:b/>
              </w:rPr>
              <w:t xml:space="preserve"> </w:t>
            </w:r>
            <w:r w:rsidRPr="00A719B5">
              <w:rPr>
                <w:b/>
              </w:rPr>
              <w:t>Assignment</w:t>
            </w:r>
            <w:r w:rsidR="000F0BB6">
              <w:rPr>
                <w:b/>
              </w:rPr>
              <w:t xml:space="preserve"> Grading Rubric</w:t>
            </w:r>
          </w:p>
          <w:p w:rsidR="000F0BB6" w:rsidRPr="00A719B5" w:rsidRDefault="000F0BB6" w:rsidP="002C0785">
            <w:pPr>
              <w:widowControl/>
              <w:spacing w:after="0" w:line="240" w:lineRule="auto"/>
              <w:rPr>
                <w:b/>
              </w:rPr>
            </w:pPr>
            <w:r>
              <w:rPr>
                <w:b/>
              </w:rPr>
              <w:t>Criteria:</w:t>
            </w:r>
          </w:p>
        </w:tc>
        <w:tc>
          <w:tcPr>
            <w:tcW w:w="1170" w:type="dxa"/>
            <w:shd w:val="clear" w:color="auto" w:fill="DEEBF6"/>
          </w:tcPr>
          <w:p w:rsidR="00C8131C" w:rsidRPr="00A719B5" w:rsidRDefault="00C8131C" w:rsidP="007F34FE">
            <w:pPr>
              <w:widowControl/>
              <w:spacing w:after="0" w:line="240" w:lineRule="auto"/>
              <w:jc w:val="center"/>
              <w:rPr>
                <w:b/>
              </w:rPr>
            </w:pPr>
            <w:r w:rsidRPr="00A719B5">
              <w:rPr>
                <w:b/>
              </w:rPr>
              <w:t>Percent possible</w:t>
            </w:r>
          </w:p>
        </w:tc>
        <w:tc>
          <w:tcPr>
            <w:tcW w:w="1260" w:type="dxa"/>
            <w:shd w:val="clear" w:color="auto" w:fill="DEEBF6"/>
          </w:tcPr>
          <w:p w:rsidR="00C8131C" w:rsidRPr="00A719B5" w:rsidRDefault="00C8131C" w:rsidP="007F34FE">
            <w:pPr>
              <w:widowControl/>
              <w:spacing w:after="0" w:line="240" w:lineRule="auto"/>
              <w:jc w:val="center"/>
              <w:rPr>
                <w:b/>
              </w:rPr>
            </w:pPr>
            <w:r w:rsidRPr="00A719B5">
              <w:rPr>
                <w:b/>
              </w:rPr>
              <w:t>Points possible</w:t>
            </w:r>
          </w:p>
        </w:tc>
        <w:tc>
          <w:tcPr>
            <w:tcW w:w="1170" w:type="dxa"/>
            <w:shd w:val="clear" w:color="auto" w:fill="DEEBF6"/>
          </w:tcPr>
          <w:p w:rsidR="00C8131C" w:rsidRPr="00A719B5" w:rsidRDefault="00C8131C" w:rsidP="000F0BB6">
            <w:pPr>
              <w:widowControl/>
              <w:spacing w:after="0" w:line="240" w:lineRule="auto"/>
              <w:jc w:val="center"/>
              <w:rPr>
                <w:b/>
              </w:rPr>
            </w:pPr>
            <w:r w:rsidRPr="00A719B5">
              <w:rPr>
                <w:b/>
              </w:rPr>
              <w:t xml:space="preserve">Points </w:t>
            </w:r>
            <w:r w:rsidR="000F0BB6">
              <w:rPr>
                <w:b/>
              </w:rPr>
              <w:t>e</w:t>
            </w:r>
            <w:r w:rsidRPr="00A719B5">
              <w:rPr>
                <w:b/>
              </w:rPr>
              <w:t>arned</w:t>
            </w:r>
          </w:p>
        </w:tc>
      </w:tr>
      <w:tr w:rsidR="00C8131C" w:rsidRPr="00A719B5" w:rsidTr="00E151C8">
        <w:tc>
          <w:tcPr>
            <w:tcW w:w="5665" w:type="dxa"/>
            <w:shd w:val="clear" w:color="auto" w:fill="DEEBF6"/>
          </w:tcPr>
          <w:p w:rsidR="00C8131C" w:rsidRPr="00A719B5" w:rsidRDefault="00C8131C" w:rsidP="007F34FE">
            <w:pPr>
              <w:widowControl/>
              <w:spacing w:after="0" w:line="240" w:lineRule="auto"/>
              <w:rPr>
                <w:b/>
              </w:rPr>
            </w:pPr>
          </w:p>
        </w:tc>
        <w:tc>
          <w:tcPr>
            <w:tcW w:w="1170" w:type="dxa"/>
            <w:shd w:val="clear" w:color="auto" w:fill="DEEBF6"/>
          </w:tcPr>
          <w:p w:rsidR="00C8131C" w:rsidRPr="00A719B5" w:rsidRDefault="00C8131C" w:rsidP="007F34FE">
            <w:pPr>
              <w:widowControl/>
              <w:spacing w:after="0" w:line="240" w:lineRule="auto"/>
              <w:jc w:val="center"/>
              <w:rPr>
                <w:b/>
              </w:rPr>
            </w:pPr>
            <w:r w:rsidRPr="00A719B5">
              <w:rPr>
                <w:b/>
              </w:rPr>
              <w:t>100%</w:t>
            </w:r>
          </w:p>
        </w:tc>
        <w:tc>
          <w:tcPr>
            <w:tcW w:w="1260" w:type="dxa"/>
            <w:shd w:val="clear" w:color="auto" w:fill="DEEBF6"/>
          </w:tcPr>
          <w:p w:rsidR="00C8131C" w:rsidRPr="00A719B5" w:rsidRDefault="00C8131C" w:rsidP="007F34FE">
            <w:pPr>
              <w:widowControl/>
              <w:spacing w:after="0" w:line="240" w:lineRule="auto"/>
              <w:jc w:val="center"/>
              <w:rPr>
                <w:b/>
              </w:rPr>
            </w:pPr>
            <w:r w:rsidRPr="00A719B5">
              <w:rPr>
                <w:b/>
              </w:rPr>
              <w:t>60</w:t>
            </w:r>
          </w:p>
        </w:tc>
        <w:tc>
          <w:tcPr>
            <w:tcW w:w="1170" w:type="dxa"/>
            <w:shd w:val="clear" w:color="auto" w:fill="DEEBF6"/>
          </w:tcPr>
          <w:p w:rsidR="00C8131C" w:rsidRPr="00A719B5" w:rsidRDefault="00C8131C" w:rsidP="007F34FE">
            <w:pPr>
              <w:widowControl/>
              <w:spacing w:after="0" w:line="240" w:lineRule="auto"/>
              <w:jc w:val="center"/>
              <w:rPr>
                <w:b/>
              </w:rPr>
            </w:pPr>
          </w:p>
        </w:tc>
      </w:tr>
      <w:tr w:rsidR="00C8131C" w:rsidRPr="00A719B5" w:rsidTr="00E151C8">
        <w:trPr>
          <w:trHeight w:val="1000"/>
        </w:trPr>
        <w:tc>
          <w:tcPr>
            <w:tcW w:w="5665" w:type="dxa"/>
            <w:shd w:val="clear" w:color="auto" w:fill="DEEBF6"/>
          </w:tcPr>
          <w:p w:rsidR="00C8131C" w:rsidRPr="00A719B5" w:rsidRDefault="00C8131C" w:rsidP="00A719B5">
            <w:pPr>
              <w:widowControl/>
              <w:spacing w:after="0" w:line="240" w:lineRule="auto"/>
              <w:contextualSpacing/>
            </w:pPr>
            <w:r w:rsidRPr="00A719B5">
              <w:t>Response to the scenario provides complete information demonstrating analysis and critical thinking:</w:t>
            </w:r>
          </w:p>
        </w:tc>
        <w:tc>
          <w:tcPr>
            <w:tcW w:w="1170" w:type="dxa"/>
            <w:shd w:val="clear" w:color="auto" w:fill="DEEBF6"/>
          </w:tcPr>
          <w:p w:rsidR="00C8131C" w:rsidRPr="00A719B5" w:rsidRDefault="00C8131C" w:rsidP="007F34FE">
            <w:pPr>
              <w:widowControl/>
              <w:spacing w:after="0" w:line="240" w:lineRule="auto"/>
              <w:jc w:val="center"/>
            </w:pPr>
            <w:r w:rsidRPr="00A719B5">
              <w:t>80%</w:t>
            </w:r>
          </w:p>
        </w:tc>
        <w:tc>
          <w:tcPr>
            <w:tcW w:w="1260" w:type="dxa"/>
            <w:shd w:val="clear" w:color="auto" w:fill="DEEBF6"/>
          </w:tcPr>
          <w:p w:rsidR="00C8131C" w:rsidRPr="00A719B5" w:rsidRDefault="00C8131C" w:rsidP="007F34FE">
            <w:pPr>
              <w:widowControl/>
              <w:spacing w:after="0" w:line="240" w:lineRule="auto"/>
            </w:pPr>
          </w:p>
        </w:tc>
        <w:tc>
          <w:tcPr>
            <w:tcW w:w="1170" w:type="dxa"/>
            <w:shd w:val="clear" w:color="auto" w:fill="DEEBF6"/>
          </w:tcPr>
          <w:p w:rsidR="00C8131C" w:rsidRPr="00A719B5" w:rsidRDefault="00C8131C" w:rsidP="007F34FE">
            <w:pPr>
              <w:widowControl/>
              <w:spacing w:after="0" w:line="240" w:lineRule="auto"/>
            </w:pPr>
          </w:p>
        </w:tc>
      </w:tr>
      <w:tr w:rsidR="00C8131C" w:rsidRPr="00A719B5" w:rsidTr="00E151C8">
        <w:trPr>
          <w:trHeight w:val="500"/>
        </w:trPr>
        <w:tc>
          <w:tcPr>
            <w:tcW w:w="5665" w:type="dxa"/>
            <w:shd w:val="clear" w:color="auto" w:fill="DEEBF6"/>
          </w:tcPr>
          <w:p w:rsidR="00C8131C" w:rsidRPr="00E151C8" w:rsidRDefault="00721F9D" w:rsidP="00A719B5">
            <w:pPr>
              <w:pStyle w:val="NormalWeb"/>
              <w:numPr>
                <w:ilvl w:val="0"/>
                <w:numId w:val="6"/>
              </w:numPr>
              <w:spacing w:before="0" w:beforeAutospacing="0" w:after="0" w:afterAutospacing="0"/>
              <w:ind w:left="247" w:hanging="293"/>
              <w:contextualSpacing/>
              <w:textAlignment w:val="baseline"/>
              <w:rPr>
                <w:rFonts w:ascii="Arial" w:hAnsi="Arial" w:cs="Arial"/>
                <w:sz w:val="22"/>
                <w:szCs w:val="22"/>
              </w:rPr>
            </w:pPr>
            <w:r w:rsidRPr="00A719B5">
              <w:rPr>
                <w:rFonts w:ascii="Arial" w:hAnsi="Arial" w:cs="Arial"/>
                <w:color w:val="000000"/>
                <w:sz w:val="22"/>
                <w:szCs w:val="22"/>
              </w:rPr>
              <w:t xml:space="preserve">Identifies the </w:t>
            </w:r>
            <w:r w:rsidR="00BC1F00" w:rsidRPr="00A719B5">
              <w:rPr>
                <w:rFonts w:ascii="Arial" w:hAnsi="Arial" w:cs="Arial"/>
                <w:color w:val="000000"/>
                <w:sz w:val="22"/>
                <w:szCs w:val="22"/>
              </w:rPr>
              <w:t>t</w:t>
            </w:r>
            <w:r w:rsidRPr="00A719B5">
              <w:rPr>
                <w:rFonts w:ascii="Arial" w:hAnsi="Arial" w:cs="Arial"/>
                <w:color w:val="000000"/>
                <w:sz w:val="22"/>
                <w:szCs w:val="22"/>
              </w:rPr>
              <w:t xml:space="preserve">eam letter/number and members. </w:t>
            </w:r>
            <w:r w:rsidR="00F4218E" w:rsidRPr="00A719B5">
              <w:rPr>
                <w:rFonts w:ascii="Arial" w:hAnsi="Arial" w:cs="Arial"/>
                <w:color w:val="000000"/>
                <w:sz w:val="22"/>
                <w:szCs w:val="22"/>
              </w:rPr>
              <w:t>Describes the problems based on the scenario.</w:t>
            </w:r>
          </w:p>
          <w:p w:rsidR="00E151C8" w:rsidRPr="00A719B5" w:rsidRDefault="00E151C8" w:rsidP="00E151C8">
            <w:pPr>
              <w:pStyle w:val="NormalWeb"/>
              <w:spacing w:before="0" w:beforeAutospacing="0" w:after="0" w:afterAutospacing="0"/>
              <w:ind w:left="247"/>
              <w:contextualSpacing/>
              <w:textAlignment w:val="baseline"/>
              <w:rPr>
                <w:rFonts w:ascii="Arial" w:hAnsi="Arial" w:cs="Arial"/>
                <w:sz w:val="22"/>
                <w:szCs w:val="22"/>
              </w:rPr>
            </w:pPr>
          </w:p>
        </w:tc>
        <w:tc>
          <w:tcPr>
            <w:tcW w:w="1170" w:type="dxa"/>
            <w:shd w:val="clear" w:color="auto" w:fill="DEEBF6"/>
          </w:tcPr>
          <w:p w:rsidR="00C8131C" w:rsidRPr="00A719B5" w:rsidRDefault="00C8131C" w:rsidP="007F34FE">
            <w:pPr>
              <w:widowControl/>
              <w:spacing w:after="0" w:line="240" w:lineRule="auto"/>
            </w:pPr>
          </w:p>
        </w:tc>
        <w:tc>
          <w:tcPr>
            <w:tcW w:w="1260" w:type="dxa"/>
            <w:shd w:val="clear" w:color="auto" w:fill="DEEBF6"/>
          </w:tcPr>
          <w:p w:rsidR="00C8131C" w:rsidRPr="00A719B5" w:rsidRDefault="00BC1F00" w:rsidP="009277F1">
            <w:pPr>
              <w:widowControl/>
              <w:spacing w:after="0" w:line="240" w:lineRule="auto"/>
              <w:jc w:val="center"/>
            </w:pPr>
            <w:r w:rsidRPr="00A719B5">
              <w:t>8</w:t>
            </w:r>
          </w:p>
          <w:p w:rsidR="00BC1F00" w:rsidRPr="00A719B5" w:rsidRDefault="00BC1F00" w:rsidP="009277F1">
            <w:pPr>
              <w:widowControl/>
              <w:spacing w:after="0" w:line="240" w:lineRule="auto"/>
              <w:jc w:val="center"/>
            </w:pPr>
          </w:p>
        </w:tc>
        <w:tc>
          <w:tcPr>
            <w:tcW w:w="1170" w:type="dxa"/>
            <w:shd w:val="clear" w:color="auto" w:fill="DEEBF6"/>
          </w:tcPr>
          <w:p w:rsidR="00C8131C" w:rsidRPr="00A719B5" w:rsidRDefault="00C8131C" w:rsidP="007F34FE">
            <w:pPr>
              <w:widowControl/>
              <w:spacing w:after="0" w:line="240" w:lineRule="auto"/>
            </w:pPr>
          </w:p>
        </w:tc>
      </w:tr>
      <w:tr w:rsidR="00C8131C" w:rsidRPr="00A719B5" w:rsidTr="00E151C8">
        <w:trPr>
          <w:trHeight w:val="580"/>
        </w:trPr>
        <w:tc>
          <w:tcPr>
            <w:tcW w:w="5665" w:type="dxa"/>
            <w:shd w:val="clear" w:color="auto" w:fill="DEEBF6"/>
          </w:tcPr>
          <w:p w:rsidR="00F4218E" w:rsidRPr="00A719B5" w:rsidRDefault="00F4218E" w:rsidP="00A719B5">
            <w:pPr>
              <w:pStyle w:val="NormalWeb"/>
              <w:numPr>
                <w:ilvl w:val="0"/>
                <w:numId w:val="8"/>
              </w:numPr>
              <w:spacing w:before="0" w:beforeAutospacing="0" w:after="0" w:afterAutospacing="0"/>
              <w:ind w:left="247" w:hanging="293"/>
              <w:contextualSpacing/>
              <w:textAlignment w:val="baseline"/>
              <w:rPr>
                <w:rFonts w:ascii="Arial" w:hAnsi="Arial" w:cs="Arial"/>
                <w:color w:val="000000"/>
                <w:sz w:val="22"/>
                <w:szCs w:val="22"/>
              </w:rPr>
            </w:pPr>
            <w:r w:rsidRPr="00A719B5">
              <w:rPr>
                <w:rFonts w:ascii="Arial" w:hAnsi="Arial" w:cs="Arial"/>
                <w:color w:val="000000"/>
                <w:sz w:val="22"/>
                <w:szCs w:val="22"/>
              </w:rPr>
              <w:t>Describe</w:t>
            </w:r>
            <w:r w:rsidR="00721F9D" w:rsidRPr="00A719B5">
              <w:rPr>
                <w:rFonts w:ascii="Arial" w:hAnsi="Arial" w:cs="Arial"/>
                <w:color w:val="000000"/>
                <w:sz w:val="22"/>
                <w:szCs w:val="22"/>
              </w:rPr>
              <w:t>s</w:t>
            </w:r>
            <w:r w:rsidRPr="00A719B5">
              <w:rPr>
                <w:rFonts w:ascii="Arial" w:hAnsi="Arial" w:cs="Arial"/>
                <w:color w:val="000000"/>
                <w:sz w:val="22"/>
                <w:szCs w:val="22"/>
              </w:rPr>
              <w:t xml:space="preserve"> the overall goal(s) and objectives of </w:t>
            </w:r>
            <w:r w:rsidR="00721F9D" w:rsidRPr="00A719B5">
              <w:rPr>
                <w:rFonts w:ascii="Arial" w:hAnsi="Arial" w:cs="Arial"/>
                <w:color w:val="000000"/>
                <w:sz w:val="22"/>
                <w:szCs w:val="22"/>
              </w:rPr>
              <w:t>the</w:t>
            </w:r>
            <w:r w:rsidRPr="00A719B5">
              <w:rPr>
                <w:rFonts w:ascii="Arial" w:hAnsi="Arial" w:cs="Arial"/>
                <w:color w:val="000000"/>
                <w:sz w:val="22"/>
                <w:szCs w:val="22"/>
              </w:rPr>
              <w:t xml:space="preserve"> assigned team.</w:t>
            </w:r>
          </w:p>
          <w:p w:rsidR="00C8131C" w:rsidRPr="00A719B5" w:rsidRDefault="00F4218E" w:rsidP="00A719B5">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left="247" w:hanging="293"/>
              <w:contextualSpacing/>
            </w:pPr>
            <w:r w:rsidRPr="00A719B5">
              <w:t xml:space="preserve"> </w:t>
            </w:r>
          </w:p>
        </w:tc>
        <w:tc>
          <w:tcPr>
            <w:tcW w:w="1170" w:type="dxa"/>
            <w:shd w:val="clear" w:color="auto" w:fill="DEEBF6"/>
          </w:tcPr>
          <w:p w:rsidR="00C8131C" w:rsidRPr="00A719B5" w:rsidRDefault="00C8131C" w:rsidP="007F34FE">
            <w:pPr>
              <w:widowControl/>
              <w:spacing w:after="0" w:line="240" w:lineRule="auto"/>
            </w:pPr>
          </w:p>
        </w:tc>
        <w:tc>
          <w:tcPr>
            <w:tcW w:w="1260" w:type="dxa"/>
            <w:shd w:val="clear" w:color="auto" w:fill="DEEBF6"/>
          </w:tcPr>
          <w:p w:rsidR="00C8131C" w:rsidRPr="00A719B5" w:rsidRDefault="00BC1F00" w:rsidP="009277F1">
            <w:pPr>
              <w:widowControl/>
              <w:spacing w:after="0" w:line="240" w:lineRule="auto"/>
              <w:jc w:val="center"/>
            </w:pPr>
            <w:r w:rsidRPr="00A719B5">
              <w:t>8</w:t>
            </w:r>
          </w:p>
        </w:tc>
        <w:tc>
          <w:tcPr>
            <w:tcW w:w="1170" w:type="dxa"/>
            <w:shd w:val="clear" w:color="auto" w:fill="DEEBF6"/>
          </w:tcPr>
          <w:p w:rsidR="00C8131C" w:rsidRPr="00A719B5" w:rsidRDefault="00C8131C" w:rsidP="007F34FE">
            <w:pPr>
              <w:widowControl/>
              <w:spacing w:after="0" w:line="240" w:lineRule="auto"/>
            </w:pPr>
          </w:p>
        </w:tc>
      </w:tr>
      <w:tr w:rsidR="00C8131C" w:rsidRPr="00A719B5" w:rsidTr="00E151C8">
        <w:trPr>
          <w:trHeight w:val="580"/>
        </w:trPr>
        <w:tc>
          <w:tcPr>
            <w:tcW w:w="5665" w:type="dxa"/>
            <w:shd w:val="clear" w:color="auto" w:fill="DEEBF6"/>
          </w:tcPr>
          <w:p w:rsidR="00F4218E" w:rsidRPr="00A719B5" w:rsidRDefault="00F4218E" w:rsidP="00A719B5">
            <w:pPr>
              <w:pStyle w:val="NormalWeb"/>
              <w:numPr>
                <w:ilvl w:val="0"/>
                <w:numId w:val="9"/>
              </w:numPr>
              <w:spacing w:before="0" w:beforeAutospacing="0" w:after="0" w:afterAutospacing="0"/>
              <w:ind w:left="247" w:hanging="293"/>
              <w:contextualSpacing/>
              <w:textAlignment w:val="baseline"/>
              <w:rPr>
                <w:rFonts w:ascii="Arial" w:hAnsi="Arial" w:cs="Arial"/>
                <w:color w:val="000000"/>
                <w:sz w:val="22"/>
                <w:szCs w:val="22"/>
              </w:rPr>
            </w:pPr>
            <w:r w:rsidRPr="00A719B5">
              <w:rPr>
                <w:rFonts w:ascii="Arial" w:hAnsi="Arial" w:cs="Arial"/>
                <w:color w:val="000000"/>
                <w:sz w:val="22"/>
                <w:szCs w:val="22"/>
              </w:rPr>
              <w:t>Describe</w:t>
            </w:r>
            <w:r w:rsidR="00721F9D" w:rsidRPr="00A719B5">
              <w:rPr>
                <w:rFonts w:ascii="Arial" w:hAnsi="Arial" w:cs="Arial"/>
                <w:color w:val="000000"/>
                <w:sz w:val="22"/>
                <w:szCs w:val="22"/>
              </w:rPr>
              <w:t>s</w:t>
            </w:r>
            <w:r w:rsidRPr="00A719B5">
              <w:rPr>
                <w:rFonts w:ascii="Arial" w:hAnsi="Arial" w:cs="Arial"/>
                <w:color w:val="000000"/>
                <w:sz w:val="22"/>
                <w:szCs w:val="22"/>
              </w:rPr>
              <w:t xml:space="preserve"> the tasks necessary to realize a successful response to the new CEO, allocating tasks for each member. </w:t>
            </w:r>
          </w:p>
          <w:p w:rsidR="00C8131C" w:rsidRPr="00A719B5" w:rsidRDefault="00F4218E" w:rsidP="00A719B5">
            <w:pPr>
              <w:pStyle w:val="ListParagraph"/>
              <w:widowControl/>
              <w:spacing w:after="0" w:line="240" w:lineRule="auto"/>
              <w:ind w:left="247" w:hanging="293"/>
            </w:pPr>
            <w:r w:rsidRPr="00A719B5">
              <w:t xml:space="preserve"> </w:t>
            </w:r>
          </w:p>
        </w:tc>
        <w:tc>
          <w:tcPr>
            <w:tcW w:w="1170" w:type="dxa"/>
            <w:shd w:val="clear" w:color="auto" w:fill="DEEBF6"/>
          </w:tcPr>
          <w:p w:rsidR="00C8131C" w:rsidRPr="00A719B5" w:rsidRDefault="00C8131C" w:rsidP="007F34FE">
            <w:pPr>
              <w:widowControl/>
              <w:spacing w:after="0" w:line="240" w:lineRule="auto"/>
            </w:pPr>
          </w:p>
        </w:tc>
        <w:tc>
          <w:tcPr>
            <w:tcW w:w="1260" w:type="dxa"/>
            <w:shd w:val="clear" w:color="auto" w:fill="DEEBF6"/>
          </w:tcPr>
          <w:p w:rsidR="00C8131C" w:rsidRPr="00A719B5" w:rsidRDefault="00BC1F00" w:rsidP="007F34FE">
            <w:pPr>
              <w:widowControl/>
              <w:spacing w:after="0" w:line="240" w:lineRule="auto"/>
              <w:jc w:val="center"/>
            </w:pPr>
            <w:r w:rsidRPr="00A719B5">
              <w:t>8</w:t>
            </w:r>
          </w:p>
          <w:p w:rsidR="00C8131C" w:rsidRPr="00A719B5" w:rsidRDefault="00C8131C" w:rsidP="007F34FE">
            <w:pPr>
              <w:widowControl/>
              <w:spacing w:after="0" w:line="240" w:lineRule="auto"/>
            </w:pPr>
          </w:p>
          <w:p w:rsidR="00C8131C" w:rsidRPr="00A719B5" w:rsidRDefault="00C8131C" w:rsidP="007F34FE">
            <w:pPr>
              <w:widowControl/>
              <w:spacing w:after="0" w:line="240" w:lineRule="auto"/>
            </w:pPr>
          </w:p>
        </w:tc>
        <w:tc>
          <w:tcPr>
            <w:tcW w:w="1170" w:type="dxa"/>
            <w:shd w:val="clear" w:color="auto" w:fill="DEEBF6"/>
          </w:tcPr>
          <w:p w:rsidR="00C8131C" w:rsidRPr="00A719B5" w:rsidRDefault="00C8131C" w:rsidP="007F34FE">
            <w:pPr>
              <w:widowControl/>
              <w:spacing w:after="0" w:line="240" w:lineRule="auto"/>
            </w:pPr>
          </w:p>
        </w:tc>
      </w:tr>
      <w:tr w:rsidR="00C8131C" w:rsidRPr="00A719B5" w:rsidTr="00E151C8">
        <w:trPr>
          <w:trHeight w:val="580"/>
        </w:trPr>
        <w:tc>
          <w:tcPr>
            <w:tcW w:w="5665" w:type="dxa"/>
            <w:shd w:val="clear" w:color="auto" w:fill="DEEBF6"/>
          </w:tcPr>
          <w:p w:rsidR="00F4218E" w:rsidRPr="00A719B5" w:rsidRDefault="00F4218E" w:rsidP="00A719B5">
            <w:pPr>
              <w:pStyle w:val="NormalWeb"/>
              <w:numPr>
                <w:ilvl w:val="0"/>
                <w:numId w:val="10"/>
              </w:numPr>
              <w:spacing w:before="0" w:beforeAutospacing="0" w:after="0" w:afterAutospacing="0"/>
              <w:ind w:left="247" w:hanging="293"/>
              <w:contextualSpacing/>
              <w:textAlignment w:val="baseline"/>
              <w:rPr>
                <w:rFonts w:ascii="Arial" w:hAnsi="Arial" w:cs="Arial"/>
                <w:color w:val="000000"/>
                <w:sz w:val="22"/>
                <w:szCs w:val="22"/>
              </w:rPr>
            </w:pPr>
            <w:r w:rsidRPr="00A719B5">
              <w:rPr>
                <w:rFonts w:ascii="Arial" w:hAnsi="Arial" w:cs="Arial"/>
                <w:color w:val="000000"/>
                <w:sz w:val="22"/>
                <w:szCs w:val="22"/>
              </w:rPr>
              <w:t>Provide</w:t>
            </w:r>
            <w:r w:rsidR="00721F9D" w:rsidRPr="00A719B5">
              <w:rPr>
                <w:rFonts w:ascii="Arial" w:hAnsi="Arial" w:cs="Arial"/>
                <w:color w:val="000000"/>
                <w:sz w:val="22"/>
                <w:szCs w:val="22"/>
              </w:rPr>
              <w:t>s</w:t>
            </w:r>
            <w:r w:rsidRPr="00A719B5">
              <w:rPr>
                <w:rFonts w:ascii="Arial" w:hAnsi="Arial" w:cs="Arial"/>
                <w:color w:val="000000"/>
                <w:sz w:val="22"/>
                <w:szCs w:val="22"/>
              </w:rPr>
              <w:t xml:space="preserve"> a proposed overall salary/benefits solution and provide</w:t>
            </w:r>
            <w:r w:rsidR="00721F9D" w:rsidRPr="00A719B5">
              <w:rPr>
                <w:rFonts w:ascii="Arial" w:hAnsi="Arial" w:cs="Arial"/>
                <w:color w:val="000000"/>
                <w:sz w:val="22"/>
                <w:szCs w:val="22"/>
              </w:rPr>
              <w:t>s</w:t>
            </w:r>
            <w:r w:rsidRPr="00A719B5">
              <w:rPr>
                <w:rFonts w:ascii="Arial" w:hAnsi="Arial" w:cs="Arial"/>
                <w:color w:val="000000"/>
                <w:sz w:val="22"/>
                <w:szCs w:val="22"/>
              </w:rPr>
              <w:t xml:space="preserve"> </w:t>
            </w:r>
            <w:r w:rsidR="00721F9D" w:rsidRPr="00A719B5">
              <w:rPr>
                <w:rFonts w:ascii="Arial" w:hAnsi="Arial" w:cs="Arial"/>
                <w:color w:val="000000"/>
                <w:sz w:val="22"/>
                <w:szCs w:val="22"/>
              </w:rPr>
              <w:t>the</w:t>
            </w:r>
            <w:r w:rsidRPr="00A719B5">
              <w:rPr>
                <w:rFonts w:ascii="Arial" w:hAnsi="Arial" w:cs="Arial"/>
                <w:color w:val="000000"/>
                <w:sz w:val="22"/>
                <w:szCs w:val="22"/>
              </w:rPr>
              <w:t xml:space="preserve"> team’s reasoning. Support</w:t>
            </w:r>
            <w:r w:rsidR="00721F9D" w:rsidRPr="00A719B5">
              <w:rPr>
                <w:rFonts w:ascii="Arial" w:hAnsi="Arial" w:cs="Arial"/>
                <w:color w:val="000000"/>
                <w:sz w:val="22"/>
                <w:szCs w:val="22"/>
              </w:rPr>
              <w:t>s</w:t>
            </w:r>
            <w:r w:rsidRPr="00A719B5">
              <w:rPr>
                <w:rFonts w:ascii="Arial" w:hAnsi="Arial" w:cs="Arial"/>
                <w:color w:val="000000"/>
                <w:sz w:val="22"/>
                <w:szCs w:val="22"/>
              </w:rPr>
              <w:t xml:space="preserve"> the solution with a short citation from each of two (2) scholarly* articles (citations and references in APA format).</w:t>
            </w:r>
          </w:p>
          <w:p w:rsidR="00C8131C" w:rsidRPr="00A719B5" w:rsidRDefault="00F4218E" w:rsidP="00A719B5">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left="247" w:hanging="293"/>
              <w:contextualSpacing/>
            </w:pPr>
            <w:r w:rsidRPr="00A719B5">
              <w:t xml:space="preserve"> </w:t>
            </w:r>
          </w:p>
        </w:tc>
        <w:tc>
          <w:tcPr>
            <w:tcW w:w="1170" w:type="dxa"/>
            <w:shd w:val="clear" w:color="auto" w:fill="DEEBF6"/>
          </w:tcPr>
          <w:p w:rsidR="00C8131C" w:rsidRPr="00A719B5" w:rsidRDefault="00C8131C" w:rsidP="007F34FE">
            <w:pPr>
              <w:widowControl/>
              <w:spacing w:after="0" w:line="240" w:lineRule="auto"/>
            </w:pPr>
          </w:p>
        </w:tc>
        <w:tc>
          <w:tcPr>
            <w:tcW w:w="1260" w:type="dxa"/>
            <w:shd w:val="clear" w:color="auto" w:fill="DEEBF6"/>
          </w:tcPr>
          <w:p w:rsidR="00C8131C" w:rsidRPr="00A719B5" w:rsidRDefault="00BC1F00" w:rsidP="007F34FE">
            <w:pPr>
              <w:widowControl/>
              <w:spacing w:after="0" w:line="240" w:lineRule="auto"/>
              <w:jc w:val="center"/>
            </w:pPr>
            <w:r w:rsidRPr="00A719B5">
              <w:t>8</w:t>
            </w:r>
          </w:p>
        </w:tc>
        <w:tc>
          <w:tcPr>
            <w:tcW w:w="1170" w:type="dxa"/>
            <w:shd w:val="clear" w:color="auto" w:fill="DEEBF6"/>
          </w:tcPr>
          <w:p w:rsidR="00C8131C" w:rsidRPr="00A719B5" w:rsidRDefault="00C8131C" w:rsidP="007F34FE">
            <w:pPr>
              <w:widowControl/>
              <w:spacing w:after="0" w:line="240" w:lineRule="auto"/>
            </w:pPr>
          </w:p>
        </w:tc>
      </w:tr>
      <w:tr w:rsidR="00C8131C" w:rsidRPr="00A719B5" w:rsidTr="00E151C8">
        <w:trPr>
          <w:trHeight w:val="580"/>
        </w:trPr>
        <w:tc>
          <w:tcPr>
            <w:tcW w:w="5665" w:type="dxa"/>
            <w:shd w:val="clear" w:color="auto" w:fill="DEEBF6"/>
          </w:tcPr>
          <w:p w:rsidR="00F4218E" w:rsidRPr="00A719B5" w:rsidRDefault="00F4218E" w:rsidP="00A719B5">
            <w:pPr>
              <w:pStyle w:val="NormalWeb"/>
              <w:numPr>
                <w:ilvl w:val="0"/>
                <w:numId w:val="3"/>
              </w:numPr>
              <w:spacing w:before="0" w:beforeAutospacing="0" w:after="0" w:afterAutospacing="0"/>
              <w:ind w:left="247" w:hanging="293"/>
              <w:contextualSpacing/>
              <w:textAlignment w:val="baseline"/>
              <w:rPr>
                <w:rFonts w:ascii="Arial" w:hAnsi="Arial" w:cs="Arial"/>
                <w:color w:val="000000"/>
                <w:sz w:val="22"/>
                <w:szCs w:val="22"/>
              </w:rPr>
            </w:pPr>
            <w:r w:rsidRPr="00A719B5">
              <w:rPr>
                <w:rFonts w:ascii="Arial" w:hAnsi="Arial" w:cs="Arial"/>
                <w:color w:val="000000"/>
                <w:sz w:val="22"/>
                <w:szCs w:val="22"/>
              </w:rPr>
              <w:t>Appl</w:t>
            </w:r>
            <w:r w:rsidR="00721F9D" w:rsidRPr="00A719B5">
              <w:rPr>
                <w:rFonts w:ascii="Arial" w:hAnsi="Arial" w:cs="Arial"/>
                <w:color w:val="000000"/>
                <w:sz w:val="22"/>
                <w:szCs w:val="22"/>
              </w:rPr>
              <w:t>ies</w:t>
            </w:r>
            <w:r w:rsidRPr="00A719B5">
              <w:rPr>
                <w:rFonts w:ascii="Arial" w:hAnsi="Arial" w:cs="Arial"/>
                <w:color w:val="000000"/>
                <w:sz w:val="22"/>
                <w:szCs w:val="22"/>
              </w:rPr>
              <w:t xml:space="preserve"> at least two teamwork concepts and at least six (6) team process steps from the Learning Activity for improving the company project team effectiveness and motivation at AIM Inc. to address the assigned response to the CEO.</w:t>
            </w:r>
          </w:p>
          <w:p w:rsidR="00C8131C" w:rsidRPr="00A719B5" w:rsidRDefault="00C8131C" w:rsidP="00A719B5">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left="247" w:hanging="293"/>
              <w:contextualSpacing/>
            </w:pPr>
          </w:p>
        </w:tc>
        <w:tc>
          <w:tcPr>
            <w:tcW w:w="1170" w:type="dxa"/>
            <w:shd w:val="clear" w:color="auto" w:fill="DEEBF6"/>
          </w:tcPr>
          <w:p w:rsidR="00C8131C" w:rsidRPr="00A719B5" w:rsidRDefault="00C8131C" w:rsidP="007F34FE">
            <w:pPr>
              <w:widowControl/>
              <w:spacing w:after="0" w:line="240" w:lineRule="auto"/>
            </w:pPr>
          </w:p>
        </w:tc>
        <w:tc>
          <w:tcPr>
            <w:tcW w:w="1260" w:type="dxa"/>
            <w:shd w:val="clear" w:color="auto" w:fill="DEEBF6"/>
          </w:tcPr>
          <w:p w:rsidR="00C8131C" w:rsidRPr="00A719B5" w:rsidRDefault="00C8131C" w:rsidP="007F34FE">
            <w:pPr>
              <w:widowControl/>
              <w:spacing w:after="0" w:line="240" w:lineRule="auto"/>
              <w:jc w:val="center"/>
            </w:pPr>
            <w:r w:rsidRPr="00A719B5">
              <w:t>8</w:t>
            </w:r>
          </w:p>
        </w:tc>
        <w:tc>
          <w:tcPr>
            <w:tcW w:w="1170" w:type="dxa"/>
            <w:shd w:val="clear" w:color="auto" w:fill="DEEBF6"/>
          </w:tcPr>
          <w:p w:rsidR="00C8131C" w:rsidRPr="00A719B5" w:rsidRDefault="00C8131C" w:rsidP="007F34FE">
            <w:pPr>
              <w:widowControl/>
              <w:spacing w:after="0" w:line="240" w:lineRule="auto"/>
            </w:pPr>
          </w:p>
        </w:tc>
      </w:tr>
      <w:tr w:rsidR="00F4218E" w:rsidRPr="00A719B5" w:rsidTr="00E151C8">
        <w:trPr>
          <w:trHeight w:val="580"/>
        </w:trPr>
        <w:tc>
          <w:tcPr>
            <w:tcW w:w="5665" w:type="dxa"/>
            <w:shd w:val="clear" w:color="auto" w:fill="DEEBF6"/>
          </w:tcPr>
          <w:p w:rsidR="00F4218E" w:rsidRPr="00A719B5" w:rsidRDefault="00F4218E" w:rsidP="00A719B5">
            <w:pPr>
              <w:pStyle w:val="NormalWeb"/>
              <w:numPr>
                <w:ilvl w:val="0"/>
                <w:numId w:val="3"/>
              </w:numPr>
              <w:spacing w:before="0" w:beforeAutospacing="0" w:after="0" w:afterAutospacing="0"/>
              <w:ind w:left="247" w:hanging="293"/>
              <w:contextualSpacing/>
              <w:textAlignment w:val="baseline"/>
              <w:rPr>
                <w:rFonts w:ascii="Arial" w:hAnsi="Arial" w:cs="Arial"/>
                <w:color w:val="000000"/>
                <w:sz w:val="22"/>
                <w:szCs w:val="22"/>
              </w:rPr>
            </w:pPr>
            <w:r w:rsidRPr="00A719B5">
              <w:rPr>
                <w:rFonts w:ascii="Arial" w:hAnsi="Arial" w:cs="Arial"/>
                <w:color w:val="000000"/>
                <w:sz w:val="22"/>
                <w:szCs w:val="22"/>
              </w:rPr>
              <w:t>Explain</w:t>
            </w:r>
            <w:r w:rsidR="00721F9D" w:rsidRPr="00A719B5">
              <w:rPr>
                <w:rFonts w:ascii="Arial" w:hAnsi="Arial" w:cs="Arial"/>
                <w:color w:val="000000"/>
                <w:sz w:val="22"/>
                <w:szCs w:val="22"/>
              </w:rPr>
              <w:t>s</w:t>
            </w:r>
            <w:r w:rsidRPr="00A719B5">
              <w:rPr>
                <w:rFonts w:ascii="Arial" w:hAnsi="Arial" w:cs="Arial"/>
                <w:color w:val="000000"/>
                <w:sz w:val="22"/>
                <w:szCs w:val="22"/>
              </w:rPr>
              <w:t xml:space="preserve"> how each of </w:t>
            </w:r>
            <w:r w:rsidR="00721F9D" w:rsidRPr="00A719B5">
              <w:rPr>
                <w:rFonts w:ascii="Arial" w:hAnsi="Arial" w:cs="Arial"/>
                <w:color w:val="000000"/>
                <w:sz w:val="22"/>
                <w:szCs w:val="22"/>
              </w:rPr>
              <w:t xml:space="preserve">the team members </w:t>
            </w:r>
            <w:r w:rsidRPr="00A719B5">
              <w:rPr>
                <w:rFonts w:ascii="Arial" w:hAnsi="Arial" w:cs="Arial"/>
                <w:color w:val="000000"/>
                <w:sz w:val="22"/>
                <w:szCs w:val="22"/>
              </w:rPr>
              <w:t>contributed to the team success to address the CEO’s concerns.</w:t>
            </w:r>
          </w:p>
          <w:p w:rsidR="00F4218E" w:rsidRPr="00A719B5" w:rsidRDefault="00F4218E" w:rsidP="00A719B5">
            <w:pPr>
              <w:pStyle w:val="NormalWeb"/>
              <w:spacing w:before="0" w:beforeAutospacing="0" w:after="0" w:afterAutospacing="0"/>
              <w:ind w:left="247" w:hanging="293"/>
              <w:contextualSpacing/>
              <w:textAlignment w:val="baseline"/>
              <w:rPr>
                <w:rFonts w:ascii="Arial" w:hAnsi="Arial" w:cs="Arial"/>
                <w:color w:val="000000"/>
                <w:sz w:val="22"/>
                <w:szCs w:val="22"/>
              </w:rPr>
            </w:pPr>
          </w:p>
        </w:tc>
        <w:tc>
          <w:tcPr>
            <w:tcW w:w="1170" w:type="dxa"/>
            <w:shd w:val="clear" w:color="auto" w:fill="DEEBF6"/>
          </w:tcPr>
          <w:p w:rsidR="00F4218E" w:rsidRPr="00A719B5" w:rsidRDefault="00F4218E" w:rsidP="007F34FE">
            <w:pPr>
              <w:widowControl/>
              <w:spacing w:after="0" w:line="240" w:lineRule="auto"/>
            </w:pPr>
          </w:p>
        </w:tc>
        <w:tc>
          <w:tcPr>
            <w:tcW w:w="1260" w:type="dxa"/>
            <w:shd w:val="clear" w:color="auto" w:fill="DEEBF6"/>
          </w:tcPr>
          <w:p w:rsidR="00F4218E" w:rsidRPr="00A719B5" w:rsidRDefault="00BC1F00" w:rsidP="007F34FE">
            <w:pPr>
              <w:widowControl/>
              <w:spacing w:after="0" w:line="240" w:lineRule="auto"/>
              <w:jc w:val="center"/>
            </w:pPr>
            <w:r w:rsidRPr="00A719B5">
              <w:t>8</w:t>
            </w:r>
          </w:p>
        </w:tc>
        <w:tc>
          <w:tcPr>
            <w:tcW w:w="1170" w:type="dxa"/>
            <w:shd w:val="clear" w:color="auto" w:fill="DEEBF6"/>
          </w:tcPr>
          <w:p w:rsidR="00F4218E" w:rsidRPr="00A719B5" w:rsidRDefault="00F4218E" w:rsidP="007F34FE">
            <w:pPr>
              <w:widowControl/>
              <w:spacing w:after="0" w:line="240" w:lineRule="auto"/>
            </w:pPr>
          </w:p>
        </w:tc>
      </w:tr>
      <w:tr w:rsidR="00C8131C" w:rsidRPr="00A719B5" w:rsidTr="00E151C8">
        <w:tc>
          <w:tcPr>
            <w:tcW w:w="5665" w:type="dxa"/>
            <w:shd w:val="clear" w:color="auto" w:fill="DEEBF6"/>
          </w:tcPr>
          <w:p w:rsidR="00C8131C" w:rsidRDefault="00C8131C" w:rsidP="00C8131C">
            <w:pPr>
              <w:spacing w:after="0" w:line="240" w:lineRule="auto"/>
              <w:ind w:left="180"/>
              <w:contextualSpacing/>
              <w:jc w:val="right"/>
              <w:rPr>
                <w:b/>
                <w:color w:val="auto"/>
              </w:rPr>
            </w:pPr>
            <w:r w:rsidRPr="00A719B5">
              <w:rPr>
                <w:b/>
                <w:color w:val="0070C0"/>
              </w:rPr>
              <w:t xml:space="preserve"> </w:t>
            </w:r>
            <w:bookmarkStart w:id="0" w:name="_GoBack"/>
            <w:bookmarkEnd w:id="0"/>
            <w:r w:rsidRPr="00A719B5">
              <w:rPr>
                <w:b/>
                <w:color w:val="auto"/>
              </w:rPr>
              <w:t>Subtotal:</w:t>
            </w:r>
          </w:p>
          <w:p w:rsidR="00E151C8" w:rsidRPr="00A719B5" w:rsidRDefault="00E151C8" w:rsidP="00C8131C">
            <w:pPr>
              <w:spacing w:after="0" w:line="240" w:lineRule="auto"/>
              <w:ind w:left="180"/>
              <w:contextualSpacing/>
              <w:jc w:val="right"/>
            </w:pPr>
          </w:p>
        </w:tc>
        <w:tc>
          <w:tcPr>
            <w:tcW w:w="1170" w:type="dxa"/>
            <w:shd w:val="clear" w:color="auto" w:fill="DEEBF6"/>
          </w:tcPr>
          <w:p w:rsidR="00C8131C" w:rsidRPr="00A719B5" w:rsidRDefault="00C8131C" w:rsidP="007F34FE">
            <w:pPr>
              <w:widowControl/>
              <w:spacing w:after="0" w:line="240" w:lineRule="auto"/>
            </w:pPr>
          </w:p>
        </w:tc>
        <w:tc>
          <w:tcPr>
            <w:tcW w:w="1260" w:type="dxa"/>
            <w:shd w:val="clear" w:color="auto" w:fill="DEEBF6"/>
          </w:tcPr>
          <w:p w:rsidR="00C8131C" w:rsidRPr="00A719B5" w:rsidRDefault="00C8131C" w:rsidP="001436D1">
            <w:pPr>
              <w:widowControl/>
              <w:tabs>
                <w:tab w:val="left" w:pos="570"/>
                <w:tab w:val="center" w:pos="702"/>
              </w:tabs>
              <w:spacing w:after="0" w:line="240" w:lineRule="auto"/>
              <w:jc w:val="center"/>
            </w:pPr>
            <w:r w:rsidRPr="00A719B5">
              <w:t>48</w:t>
            </w:r>
          </w:p>
        </w:tc>
        <w:tc>
          <w:tcPr>
            <w:tcW w:w="1170" w:type="dxa"/>
            <w:shd w:val="clear" w:color="auto" w:fill="DEEBF6"/>
          </w:tcPr>
          <w:p w:rsidR="00C8131C" w:rsidRPr="00A719B5" w:rsidRDefault="00C8131C" w:rsidP="007F34FE">
            <w:pPr>
              <w:widowControl/>
              <w:spacing w:after="0" w:line="240" w:lineRule="auto"/>
            </w:pPr>
          </w:p>
        </w:tc>
      </w:tr>
      <w:tr w:rsidR="00C8131C" w:rsidRPr="00A719B5" w:rsidTr="00E151C8">
        <w:tc>
          <w:tcPr>
            <w:tcW w:w="5665" w:type="dxa"/>
            <w:shd w:val="clear" w:color="auto" w:fill="DEEBF6"/>
          </w:tcPr>
          <w:p w:rsidR="00E151C8" w:rsidRPr="00A719B5" w:rsidRDefault="00BC1F00" w:rsidP="00E151C8">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hanging="29"/>
              <w:contextualSpacing/>
            </w:pPr>
            <w:r w:rsidRPr="00A719B5">
              <w:t>The PowerPoint</w:t>
            </w:r>
            <w:r w:rsidRPr="00A719B5">
              <w:rPr>
                <w:vertAlign w:val="superscript"/>
              </w:rPr>
              <w:t>®</w:t>
            </w:r>
            <w:r w:rsidRPr="00A719B5">
              <w:t xml:space="preserve"> presentation</w:t>
            </w:r>
            <w:r w:rsidR="00721F9D" w:rsidRPr="00A719B5">
              <w:t xml:space="preserve"> </w:t>
            </w:r>
            <w:r w:rsidRPr="00A719B5">
              <w:t>evidences</w:t>
            </w:r>
            <w:r w:rsidR="00C8131C" w:rsidRPr="00A719B5">
              <w:t xml:space="preserve"> correct spelling and grammar in a </w:t>
            </w:r>
            <w:r w:rsidR="00721F9D" w:rsidRPr="00A719B5">
              <w:t>minimum of 10 slides with additional title and reference slides</w:t>
            </w:r>
            <w:r w:rsidRPr="00A719B5">
              <w:t>.</w:t>
            </w:r>
            <w:r w:rsidR="00721F9D" w:rsidRPr="00A719B5">
              <w:t xml:space="preserve"> </w:t>
            </w:r>
            <w:r w:rsidRPr="00A719B5">
              <w:t>The presentation is created using</w:t>
            </w:r>
            <w:r w:rsidR="00721F9D" w:rsidRPr="00A719B5">
              <w:t xml:space="preserve"> 24-point font with no more than five bulleted points and explanations placed below each slide in the notes section</w:t>
            </w:r>
            <w:r w:rsidRPr="00A719B5">
              <w:t>,</w:t>
            </w:r>
            <w:r w:rsidR="00721F9D" w:rsidRPr="00A719B5">
              <w:t xml:space="preserve"> or provides an </w:t>
            </w:r>
            <w:r w:rsidRPr="00A719B5">
              <w:t xml:space="preserve">audible and intelligible </w:t>
            </w:r>
            <w:r w:rsidR="00721F9D" w:rsidRPr="00A719B5">
              <w:t>audio explanation for each slide.</w:t>
            </w:r>
            <w:r w:rsidRPr="00A719B5">
              <w:t xml:space="preserve"> </w:t>
            </w:r>
          </w:p>
        </w:tc>
        <w:tc>
          <w:tcPr>
            <w:tcW w:w="1170" w:type="dxa"/>
            <w:shd w:val="clear" w:color="auto" w:fill="DEEBF6"/>
          </w:tcPr>
          <w:p w:rsidR="00C8131C" w:rsidRPr="00A719B5" w:rsidRDefault="00C8131C" w:rsidP="007F34FE">
            <w:pPr>
              <w:widowControl/>
              <w:spacing w:after="0" w:line="240" w:lineRule="auto"/>
              <w:jc w:val="center"/>
            </w:pPr>
            <w:r w:rsidRPr="00A719B5">
              <w:t>20%</w:t>
            </w:r>
          </w:p>
        </w:tc>
        <w:tc>
          <w:tcPr>
            <w:tcW w:w="1260" w:type="dxa"/>
            <w:shd w:val="clear" w:color="auto" w:fill="DEEBF6"/>
          </w:tcPr>
          <w:p w:rsidR="00C8131C" w:rsidRPr="00A719B5" w:rsidRDefault="00C8131C" w:rsidP="00E151C8">
            <w:pPr>
              <w:widowControl/>
              <w:spacing w:after="0" w:line="240" w:lineRule="auto"/>
              <w:jc w:val="center"/>
            </w:pPr>
            <w:r w:rsidRPr="00A719B5">
              <w:t>12</w:t>
            </w:r>
          </w:p>
        </w:tc>
        <w:tc>
          <w:tcPr>
            <w:tcW w:w="1170" w:type="dxa"/>
            <w:shd w:val="clear" w:color="auto" w:fill="DEEBF6"/>
          </w:tcPr>
          <w:p w:rsidR="00C8131C" w:rsidRPr="00A719B5" w:rsidRDefault="00C8131C" w:rsidP="007F34FE">
            <w:pPr>
              <w:widowControl/>
              <w:spacing w:after="0" w:line="240" w:lineRule="auto"/>
            </w:pPr>
          </w:p>
        </w:tc>
      </w:tr>
      <w:tr w:rsidR="00C8131C" w:rsidRPr="00A719B5" w:rsidTr="00E151C8">
        <w:trPr>
          <w:trHeight w:val="320"/>
        </w:trPr>
        <w:tc>
          <w:tcPr>
            <w:tcW w:w="5665" w:type="dxa"/>
            <w:shd w:val="clear" w:color="auto" w:fill="DEEBF6"/>
          </w:tcPr>
          <w:p w:rsidR="00C8131C" w:rsidRPr="00A719B5" w:rsidRDefault="00C8131C" w:rsidP="007F34FE">
            <w:pPr>
              <w:widowControl/>
              <w:spacing w:after="0" w:line="240" w:lineRule="auto"/>
              <w:jc w:val="right"/>
              <w:rPr>
                <w:b/>
              </w:rPr>
            </w:pPr>
            <w:r w:rsidRPr="00A719B5">
              <w:rPr>
                <w:b/>
                <w:color w:val="auto"/>
              </w:rPr>
              <w:t>Subtotal:</w:t>
            </w:r>
          </w:p>
        </w:tc>
        <w:tc>
          <w:tcPr>
            <w:tcW w:w="1170" w:type="dxa"/>
            <w:shd w:val="clear" w:color="auto" w:fill="DEEBF6"/>
          </w:tcPr>
          <w:p w:rsidR="00C8131C" w:rsidRPr="00A719B5" w:rsidRDefault="00C8131C" w:rsidP="007F34FE">
            <w:pPr>
              <w:widowControl/>
              <w:spacing w:after="0" w:line="240" w:lineRule="auto"/>
            </w:pPr>
          </w:p>
        </w:tc>
        <w:tc>
          <w:tcPr>
            <w:tcW w:w="1260" w:type="dxa"/>
            <w:shd w:val="clear" w:color="auto" w:fill="DEEBF6"/>
          </w:tcPr>
          <w:p w:rsidR="00C8131C" w:rsidRPr="00A719B5" w:rsidRDefault="00C8131C" w:rsidP="007F34FE">
            <w:pPr>
              <w:widowControl/>
              <w:spacing w:after="0" w:line="240" w:lineRule="auto"/>
              <w:jc w:val="center"/>
            </w:pPr>
          </w:p>
        </w:tc>
        <w:tc>
          <w:tcPr>
            <w:tcW w:w="1170" w:type="dxa"/>
            <w:shd w:val="clear" w:color="auto" w:fill="DEEBF6"/>
          </w:tcPr>
          <w:p w:rsidR="00C8131C" w:rsidRPr="00A719B5" w:rsidRDefault="00C8131C" w:rsidP="007F34FE">
            <w:pPr>
              <w:widowControl/>
              <w:spacing w:after="0" w:line="240" w:lineRule="auto"/>
            </w:pPr>
          </w:p>
        </w:tc>
      </w:tr>
      <w:tr w:rsidR="00C8131C" w:rsidRPr="00A719B5" w:rsidTr="00E151C8">
        <w:tc>
          <w:tcPr>
            <w:tcW w:w="5665" w:type="dxa"/>
            <w:shd w:val="clear" w:color="auto" w:fill="DEEBF6"/>
          </w:tcPr>
          <w:p w:rsidR="00C8131C" w:rsidRPr="00A719B5" w:rsidRDefault="00C8131C" w:rsidP="007F34FE">
            <w:pPr>
              <w:widowControl/>
              <w:spacing w:after="0" w:line="240" w:lineRule="auto"/>
              <w:rPr>
                <w:b/>
              </w:rPr>
            </w:pPr>
          </w:p>
          <w:p w:rsidR="00C8131C" w:rsidRPr="00A719B5" w:rsidRDefault="00C8131C" w:rsidP="007F34FE">
            <w:pPr>
              <w:widowControl/>
              <w:spacing w:after="0" w:line="240" w:lineRule="auto"/>
              <w:rPr>
                <w:b/>
              </w:rPr>
            </w:pPr>
            <w:r w:rsidRPr="00A719B5">
              <w:rPr>
                <w:b/>
              </w:rPr>
              <w:t>Total Assignment Score:</w:t>
            </w:r>
          </w:p>
          <w:p w:rsidR="00C8131C" w:rsidRPr="00A719B5" w:rsidRDefault="00C8131C" w:rsidP="007F34FE">
            <w:pPr>
              <w:widowControl/>
              <w:spacing w:after="0" w:line="240" w:lineRule="auto"/>
              <w:rPr>
                <w:b/>
              </w:rPr>
            </w:pPr>
          </w:p>
        </w:tc>
        <w:tc>
          <w:tcPr>
            <w:tcW w:w="1170" w:type="dxa"/>
            <w:shd w:val="clear" w:color="auto" w:fill="DEEBF6"/>
          </w:tcPr>
          <w:p w:rsidR="00C8131C" w:rsidRPr="00A719B5" w:rsidRDefault="00C8131C" w:rsidP="007F34FE">
            <w:pPr>
              <w:widowControl/>
              <w:spacing w:after="0" w:line="240" w:lineRule="auto"/>
              <w:jc w:val="center"/>
              <w:rPr>
                <w:b/>
              </w:rPr>
            </w:pPr>
            <w:r w:rsidRPr="00A719B5">
              <w:rPr>
                <w:b/>
              </w:rPr>
              <w:t>100%</w:t>
            </w:r>
          </w:p>
        </w:tc>
        <w:tc>
          <w:tcPr>
            <w:tcW w:w="1260" w:type="dxa"/>
            <w:shd w:val="clear" w:color="auto" w:fill="DEEBF6"/>
          </w:tcPr>
          <w:p w:rsidR="00C8131C" w:rsidRPr="00A719B5" w:rsidRDefault="00C8131C" w:rsidP="00E151C8">
            <w:pPr>
              <w:widowControl/>
              <w:spacing w:after="0" w:line="240" w:lineRule="auto"/>
              <w:jc w:val="center"/>
              <w:rPr>
                <w:b/>
              </w:rPr>
            </w:pPr>
            <w:r w:rsidRPr="00A719B5">
              <w:rPr>
                <w:b/>
              </w:rPr>
              <w:t xml:space="preserve">Total </w:t>
            </w:r>
            <w:r w:rsidR="00E151C8">
              <w:rPr>
                <w:b/>
              </w:rPr>
              <w:t xml:space="preserve">points </w:t>
            </w:r>
            <w:r w:rsidRPr="00A719B5">
              <w:rPr>
                <w:b/>
              </w:rPr>
              <w:t>possible</w:t>
            </w:r>
            <w:r w:rsidR="00E151C8">
              <w:rPr>
                <w:b/>
              </w:rPr>
              <w:t>:</w:t>
            </w:r>
            <w:r w:rsidRPr="00A719B5">
              <w:rPr>
                <w:b/>
              </w:rPr>
              <w:t xml:space="preserve"> 60</w:t>
            </w:r>
          </w:p>
        </w:tc>
        <w:tc>
          <w:tcPr>
            <w:tcW w:w="1170" w:type="dxa"/>
            <w:shd w:val="clear" w:color="auto" w:fill="DEEBF6"/>
          </w:tcPr>
          <w:p w:rsidR="00C8131C" w:rsidRPr="00A719B5" w:rsidRDefault="00C8131C" w:rsidP="007F34FE">
            <w:pPr>
              <w:widowControl/>
              <w:spacing w:after="0" w:line="240" w:lineRule="auto"/>
            </w:pPr>
          </w:p>
        </w:tc>
      </w:tr>
    </w:tbl>
    <w:p w:rsidR="00F172C5" w:rsidRDefault="005F431E" w:rsidP="00C8131C">
      <w:pPr>
        <w:ind w:right="90"/>
      </w:pPr>
      <w:r>
        <w:t xml:space="preserve">*Scholarly sources have been put through a peer-review by experts to ascertain that the content is original, proves any statements or claims with viable research, etc. Select “Library” under the Academic Tools area. Then select “Limit to: Peer Reviewed” before doing your </w:t>
      </w:r>
      <w:r>
        <w:lastRenderedPageBreak/>
        <w:t>search on a</w:t>
      </w:r>
      <w:r w:rsidR="00C8131C">
        <w:t xml:space="preserve"> t</w:t>
      </w:r>
      <w:r>
        <w:t>opic.</w:t>
      </w:r>
    </w:p>
    <w:sectPr w:rsidR="00F172C5" w:rsidSect="00C8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C6E"/>
    <w:multiLevelType w:val="multilevel"/>
    <w:tmpl w:val="FC54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24876"/>
    <w:multiLevelType w:val="multilevel"/>
    <w:tmpl w:val="5B78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97801"/>
    <w:multiLevelType w:val="multilevel"/>
    <w:tmpl w:val="5368144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2B02CA"/>
    <w:multiLevelType w:val="multilevel"/>
    <w:tmpl w:val="1212963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F681BA6"/>
    <w:multiLevelType w:val="multilevel"/>
    <w:tmpl w:val="DD38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613B9D"/>
    <w:multiLevelType w:val="multilevel"/>
    <w:tmpl w:val="909E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E6E0B"/>
    <w:multiLevelType w:val="multilevel"/>
    <w:tmpl w:val="E8CC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D4FC8"/>
    <w:multiLevelType w:val="multilevel"/>
    <w:tmpl w:val="E364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A47A8"/>
    <w:multiLevelType w:val="multilevel"/>
    <w:tmpl w:val="96FA59F2"/>
    <w:lvl w:ilvl="0">
      <w:start w:val="1"/>
      <w:numFmt w:val="bullet"/>
      <w:lvlText w:val="●"/>
      <w:lvlJc w:val="left"/>
      <w:pPr>
        <w:ind w:left="687" w:hanging="360"/>
      </w:pPr>
      <w:rPr>
        <w:rFonts w:ascii="Noto Sans Symbols" w:eastAsia="Noto Sans Symbols" w:hAnsi="Noto Sans Symbols" w:cs="Noto Sans Symbols"/>
        <w:sz w:val="18"/>
        <w:szCs w:val="18"/>
      </w:rPr>
    </w:lvl>
    <w:lvl w:ilvl="1">
      <w:start w:val="1"/>
      <w:numFmt w:val="bullet"/>
      <w:lvlText w:val="o"/>
      <w:lvlJc w:val="left"/>
      <w:pPr>
        <w:ind w:left="1407" w:hanging="360"/>
      </w:pPr>
      <w:rPr>
        <w:rFonts w:ascii="Courier New" w:eastAsia="Courier New" w:hAnsi="Courier New" w:cs="Courier New"/>
      </w:rPr>
    </w:lvl>
    <w:lvl w:ilvl="2">
      <w:start w:val="1"/>
      <w:numFmt w:val="bullet"/>
      <w:lvlText w:val="▪"/>
      <w:lvlJc w:val="left"/>
      <w:pPr>
        <w:ind w:left="2127" w:hanging="360"/>
      </w:pPr>
      <w:rPr>
        <w:rFonts w:ascii="Noto Sans Symbols" w:eastAsia="Noto Sans Symbols" w:hAnsi="Noto Sans Symbols" w:cs="Noto Sans Symbols"/>
      </w:rPr>
    </w:lvl>
    <w:lvl w:ilvl="3">
      <w:start w:val="1"/>
      <w:numFmt w:val="bullet"/>
      <w:lvlText w:val="●"/>
      <w:lvlJc w:val="left"/>
      <w:pPr>
        <w:ind w:left="2847" w:hanging="360"/>
      </w:pPr>
      <w:rPr>
        <w:rFonts w:ascii="Noto Sans Symbols" w:eastAsia="Noto Sans Symbols" w:hAnsi="Noto Sans Symbols" w:cs="Noto Sans Symbols"/>
      </w:rPr>
    </w:lvl>
    <w:lvl w:ilvl="4">
      <w:start w:val="1"/>
      <w:numFmt w:val="bullet"/>
      <w:lvlText w:val="o"/>
      <w:lvlJc w:val="left"/>
      <w:pPr>
        <w:ind w:left="3567" w:hanging="360"/>
      </w:pPr>
      <w:rPr>
        <w:rFonts w:ascii="Courier New" w:eastAsia="Courier New" w:hAnsi="Courier New" w:cs="Courier New"/>
      </w:rPr>
    </w:lvl>
    <w:lvl w:ilvl="5">
      <w:start w:val="1"/>
      <w:numFmt w:val="bullet"/>
      <w:lvlText w:val="▪"/>
      <w:lvlJc w:val="left"/>
      <w:pPr>
        <w:ind w:left="4287" w:hanging="360"/>
      </w:pPr>
      <w:rPr>
        <w:rFonts w:ascii="Noto Sans Symbols" w:eastAsia="Noto Sans Symbols" w:hAnsi="Noto Sans Symbols" w:cs="Noto Sans Symbols"/>
      </w:rPr>
    </w:lvl>
    <w:lvl w:ilvl="6">
      <w:start w:val="1"/>
      <w:numFmt w:val="bullet"/>
      <w:lvlText w:val="●"/>
      <w:lvlJc w:val="left"/>
      <w:pPr>
        <w:ind w:left="5007" w:hanging="360"/>
      </w:pPr>
      <w:rPr>
        <w:rFonts w:ascii="Noto Sans Symbols" w:eastAsia="Noto Sans Symbols" w:hAnsi="Noto Sans Symbols" w:cs="Noto Sans Symbols"/>
      </w:rPr>
    </w:lvl>
    <w:lvl w:ilvl="7">
      <w:start w:val="1"/>
      <w:numFmt w:val="bullet"/>
      <w:lvlText w:val="o"/>
      <w:lvlJc w:val="left"/>
      <w:pPr>
        <w:ind w:left="5727" w:hanging="360"/>
      </w:pPr>
      <w:rPr>
        <w:rFonts w:ascii="Courier New" w:eastAsia="Courier New" w:hAnsi="Courier New" w:cs="Courier New"/>
      </w:rPr>
    </w:lvl>
    <w:lvl w:ilvl="8">
      <w:start w:val="1"/>
      <w:numFmt w:val="bullet"/>
      <w:lvlText w:val="▪"/>
      <w:lvlJc w:val="left"/>
      <w:pPr>
        <w:ind w:left="6447" w:hanging="360"/>
      </w:pPr>
      <w:rPr>
        <w:rFonts w:ascii="Noto Sans Symbols" w:eastAsia="Noto Sans Symbols" w:hAnsi="Noto Sans Symbols" w:cs="Noto Sans Symbols"/>
      </w:rPr>
    </w:lvl>
  </w:abstractNum>
  <w:abstractNum w:abstractNumId="9" w15:restartNumberingAfterBreak="0">
    <w:nsid w:val="6DE77FE7"/>
    <w:multiLevelType w:val="hybridMultilevel"/>
    <w:tmpl w:val="0FB2A52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0" w15:restartNumberingAfterBreak="0">
    <w:nsid w:val="76FC6BAA"/>
    <w:multiLevelType w:val="multilevel"/>
    <w:tmpl w:val="0F940B66"/>
    <w:lvl w:ilvl="0">
      <w:start w:val="1"/>
      <w:numFmt w:val="bullet"/>
      <w:lvlText w:val="●"/>
      <w:lvlJc w:val="left"/>
      <w:pPr>
        <w:ind w:left="1440" w:hanging="360"/>
      </w:pPr>
      <w:rPr>
        <w:rFonts w:ascii="Noto Sans Symbols" w:eastAsia="Noto Sans Symbols" w:hAnsi="Noto Sans Symbols" w:cs="Noto Sans Symbols"/>
        <w:sz w:val="18"/>
        <w:szCs w:val="1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7F7B595D"/>
    <w:multiLevelType w:val="multilevel"/>
    <w:tmpl w:val="4F2E07C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0"/>
  </w:num>
  <w:num w:numId="3">
    <w:abstractNumId w:val="9"/>
  </w:num>
  <w:num w:numId="4">
    <w:abstractNumId w:val="3"/>
  </w:num>
  <w:num w:numId="5">
    <w:abstractNumId w:val="2"/>
  </w:num>
  <w:num w:numId="6">
    <w:abstractNumId w:val="11"/>
  </w:num>
  <w:num w:numId="7">
    <w:abstractNumId w:val="5"/>
  </w:num>
  <w:num w:numId="8">
    <w:abstractNumId w:val="7"/>
  </w:num>
  <w:num w:numId="9">
    <w:abstractNumId w:val="1"/>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C5"/>
    <w:rsid w:val="00036CBA"/>
    <w:rsid w:val="000C576A"/>
    <w:rsid w:val="000F0BB6"/>
    <w:rsid w:val="001436D1"/>
    <w:rsid w:val="001F294C"/>
    <w:rsid w:val="002C0785"/>
    <w:rsid w:val="00375E24"/>
    <w:rsid w:val="004718D8"/>
    <w:rsid w:val="005F431E"/>
    <w:rsid w:val="00721F9D"/>
    <w:rsid w:val="00741361"/>
    <w:rsid w:val="00776C9A"/>
    <w:rsid w:val="00861AB5"/>
    <w:rsid w:val="008B1AA8"/>
    <w:rsid w:val="009277F1"/>
    <w:rsid w:val="00944B93"/>
    <w:rsid w:val="00967AE1"/>
    <w:rsid w:val="00A719B5"/>
    <w:rsid w:val="00B655DA"/>
    <w:rsid w:val="00B92F6D"/>
    <w:rsid w:val="00BC1F00"/>
    <w:rsid w:val="00C8131C"/>
    <w:rsid w:val="00CA33A5"/>
    <w:rsid w:val="00D83768"/>
    <w:rsid w:val="00E151C8"/>
    <w:rsid w:val="00F172C5"/>
    <w:rsid w:val="00F4218E"/>
    <w:rsid w:val="00FA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FE7A"/>
  <w15:docId w15:val="{D76E069C-5E6E-4FB6-BF0A-26D34E6B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72C5"/>
    <w:pPr>
      <w:widowControl w:val="0"/>
      <w:pBdr>
        <w:top w:val="nil"/>
        <w:left w:val="nil"/>
        <w:bottom w:val="nil"/>
        <w:right w:val="nil"/>
        <w:between w:val="nil"/>
      </w:pBdr>
      <w:spacing w:after="200" w:line="276" w:lineRule="auto"/>
    </w:pPr>
    <w:rPr>
      <w:rFonts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6D1"/>
    <w:pPr>
      <w:ind w:left="720"/>
      <w:contextualSpacing/>
    </w:pPr>
  </w:style>
  <w:style w:type="paragraph" w:styleId="NormalWeb">
    <w:name w:val="Normal (Web)"/>
    <w:basedOn w:val="Normal"/>
    <w:uiPriority w:val="99"/>
    <w:unhideWhenUsed/>
    <w:rsid w:val="00F4218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5294">
      <w:bodyDiv w:val="1"/>
      <w:marLeft w:val="0"/>
      <w:marRight w:val="0"/>
      <w:marTop w:val="0"/>
      <w:marBottom w:val="0"/>
      <w:divBdr>
        <w:top w:val="none" w:sz="0" w:space="0" w:color="auto"/>
        <w:left w:val="none" w:sz="0" w:space="0" w:color="auto"/>
        <w:bottom w:val="none" w:sz="0" w:space="0" w:color="auto"/>
        <w:right w:val="none" w:sz="0" w:space="0" w:color="auto"/>
      </w:divBdr>
    </w:div>
    <w:div w:id="897283311">
      <w:bodyDiv w:val="1"/>
      <w:marLeft w:val="0"/>
      <w:marRight w:val="0"/>
      <w:marTop w:val="0"/>
      <w:marBottom w:val="0"/>
      <w:divBdr>
        <w:top w:val="none" w:sz="0" w:space="0" w:color="auto"/>
        <w:left w:val="none" w:sz="0" w:space="0" w:color="auto"/>
        <w:bottom w:val="none" w:sz="0" w:space="0" w:color="auto"/>
        <w:right w:val="none" w:sz="0" w:space="0" w:color="auto"/>
      </w:divBdr>
    </w:div>
    <w:div w:id="910038000">
      <w:bodyDiv w:val="1"/>
      <w:marLeft w:val="0"/>
      <w:marRight w:val="0"/>
      <w:marTop w:val="0"/>
      <w:marBottom w:val="0"/>
      <w:divBdr>
        <w:top w:val="none" w:sz="0" w:space="0" w:color="auto"/>
        <w:left w:val="none" w:sz="0" w:space="0" w:color="auto"/>
        <w:bottom w:val="none" w:sz="0" w:space="0" w:color="auto"/>
        <w:right w:val="none" w:sz="0" w:space="0" w:color="auto"/>
      </w:divBdr>
    </w:div>
    <w:div w:id="1346400605">
      <w:bodyDiv w:val="1"/>
      <w:marLeft w:val="0"/>
      <w:marRight w:val="0"/>
      <w:marTop w:val="0"/>
      <w:marBottom w:val="0"/>
      <w:divBdr>
        <w:top w:val="none" w:sz="0" w:space="0" w:color="auto"/>
        <w:left w:val="none" w:sz="0" w:space="0" w:color="auto"/>
        <w:bottom w:val="none" w:sz="0" w:space="0" w:color="auto"/>
        <w:right w:val="none" w:sz="0" w:space="0" w:color="auto"/>
      </w:divBdr>
    </w:div>
    <w:div w:id="1413814226">
      <w:bodyDiv w:val="1"/>
      <w:marLeft w:val="0"/>
      <w:marRight w:val="0"/>
      <w:marTop w:val="0"/>
      <w:marBottom w:val="0"/>
      <w:divBdr>
        <w:top w:val="none" w:sz="0" w:space="0" w:color="auto"/>
        <w:left w:val="none" w:sz="0" w:space="0" w:color="auto"/>
        <w:bottom w:val="none" w:sz="0" w:space="0" w:color="auto"/>
        <w:right w:val="none" w:sz="0" w:space="0" w:color="auto"/>
      </w:divBdr>
    </w:div>
    <w:div w:id="18492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Scott Valdez</dc:creator>
  <cp:keywords/>
  <dc:description/>
  <cp:lastModifiedBy>SV for Purdue Global</cp:lastModifiedBy>
  <cp:revision>4</cp:revision>
  <dcterms:created xsi:type="dcterms:W3CDTF">2018-11-19T17:17:00Z</dcterms:created>
  <dcterms:modified xsi:type="dcterms:W3CDTF">2018-11-19T17:18:00Z</dcterms:modified>
</cp:coreProperties>
</file>