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ED" w:rsidRPr="00A456CF" w:rsidRDefault="00AF476C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ascii="Arial" w:eastAsia="Calibri" w:hAnsi="Arial" w:cs="Arial"/>
          <w:b/>
          <w:highlight w:val="white"/>
        </w:rPr>
      </w:pPr>
      <w:r w:rsidRPr="00A456CF">
        <w:rPr>
          <w:rFonts w:ascii="Arial" w:eastAsia="Calibri" w:hAnsi="Arial" w:cs="Arial"/>
          <w:b/>
          <w:highlight w:val="white"/>
        </w:rPr>
        <w:t>If work submitted for this Competency Assessment does not meet the minimum submission requirements, it will be returned without being scored.</w:t>
      </w:r>
    </w:p>
    <w:p w:rsidR="002330ED" w:rsidRPr="00A456CF" w:rsidRDefault="002330ED">
      <w:pPr>
        <w:ind w:left="-90"/>
        <w:rPr>
          <w:rFonts w:ascii="Arial" w:hAnsi="Arial" w:cs="Arial"/>
        </w:rPr>
      </w:pPr>
    </w:p>
    <w:tbl>
      <w:tblPr>
        <w:tblStyle w:val="a"/>
        <w:tblW w:w="944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  <w:tblCaption w:val="Checklist Criteria Rubric"/>
      </w:tblPr>
      <w:tblGrid>
        <w:gridCol w:w="7014"/>
        <w:gridCol w:w="1215"/>
        <w:gridCol w:w="1215"/>
      </w:tblGrid>
      <w:tr w:rsidR="00A456CF" w:rsidRPr="00A456CF" w:rsidTr="00127416">
        <w:trPr>
          <w:trHeight w:val="240"/>
          <w:tblHeader/>
        </w:trPr>
        <w:tc>
          <w:tcPr>
            <w:tcW w:w="7014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456CF" w:rsidP="00A456CF">
            <w:pPr>
              <w:contextualSpacing/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CRITERIA</w:t>
            </w:r>
          </w:p>
        </w:tc>
        <w:tc>
          <w:tcPr>
            <w:tcW w:w="1215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MET</w:t>
            </w:r>
          </w:p>
        </w:tc>
        <w:tc>
          <w:tcPr>
            <w:tcW w:w="1215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ind w:left="-59" w:right="-119"/>
              <w:contextualSpacing/>
              <w:jc w:val="center"/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NOT</w:t>
            </w:r>
            <w:r w:rsidR="00A456CF" w:rsidRPr="00A456CF">
              <w:rPr>
                <w:rFonts w:ascii="Arial" w:eastAsia="Calibri" w:hAnsi="Arial" w:cs="Arial"/>
                <w:b/>
              </w:rPr>
              <w:t xml:space="preserve"> YET</w:t>
            </w:r>
            <w:r w:rsidRPr="00A456CF">
              <w:rPr>
                <w:rFonts w:ascii="Arial" w:eastAsia="Calibri" w:hAnsi="Arial" w:cs="Arial"/>
                <w:b/>
              </w:rPr>
              <w:t xml:space="preserve"> MET</w:t>
            </w:r>
          </w:p>
        </w:tc>
      </w:tr>
      <w:tr w:rsidR="00A456CF" w:rsidRPr="00A456CF" w:rsidTr="00127416">
        <w:trPr>
          <w:trHeight w:val="54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ind w:right="-24"/>
              <w:contextualSpacing/>
              <w:rPr>
                <w:rFonts w:ascii="Arial" w:eastAsia="Arial" w:hAnsi="Arial" w:cs="Arial"/>
                <w:b/>
              </w:rPr>
            </w:pPr>
            <w:r w:rsidRPr="00A456CF">
              <w:rPr>
                <w:rFonts w:ascii="Arial" w:eastAsia="Arial" w:hAnsi="Arial" w:cs="Arial"/>
                <w:b/>
              </w:rPr>
              <w:t>Criteria 1. Explains the tax benefits of debt financing.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contextualSpacing/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contextualSpacing/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hAnsi="Arial" w:cs="Arial"/>
              </w:rPr>
              <w:t> </w:t>
            </w:r>
          </w:p>
        </w:tc>
      </w:tr>
      <w:tr w:rsidR="00A456CF" w:rsidRPr="00A456CF" w:rsidTr="00127416">
        <w:trPr>
          <w:trHeight w:val="38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ind w:right="-24"/>
              <w:contextualSpacing/>
              <w:rPr>
                <w:rFonts w:ascii="Arial" w:eastAsia="Arial" w:hAnsi="Arial" w:cs="Arial"/>
              </w:rPr>
            </w:pPr>
            <w:r w:rsidRPr="00A456CF">
              <w:rPr>
                <w:rFonts w:ascii="Arial" w:eastAsia="Arial" w:hAnsi="Arial" w:cs="Arial"/>
              </w:rPr>
              <w:t>[Correctly explains the required steps for After Tax Weighted Average Cost of Capital (AT-WACC) calculation with applicable dollar and or percentage values.]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contextualSpacing/>
              <w:rPr>
                <w:rFonts w:ascii="Arial" w:eastAsia="Arial" w:hAnsi="Arial" w:cs="Arial"/>
                <w:b/>
              </w:rPr>
            </w:pPr>
            <w:r w:rsidRPr="00A456CF">
              <w:rPr>
                <w:rFonts w:ascii="Arial" w:eastAsia="Arial" w:hAnsi="Arial" w:cs="Arial"/>
                <w:b/>
              </w:rPr>
              <w:t>Criteria 2. Integrates data to calculate the AT-WACC with a 60% debt and 40% equity financing structure.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contextualSpacing/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contextualSpacing/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hAnsi="Arial" w:cs="Arial"/>
              </w:rPr>
              <w:t> </w:t>
            </w:r>
          </w:p>
        </w:tc>
      </w:tr>
      <w:tr w:rsidR="00A456CF" w:rsidRPr="00A456CF" w:rsidTr="00127416"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ind w:right="1685"/>
              <w:contextualSpacing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 w:rsidRPr="00A456CF">
              <w:rPr>
                <w:rFonts w:ascii="Arial" w:eastAsia="Arial" w:hAnsi="Arial" w:cs="Arial"/>
              </w:rPr>
              <w:t xml:space="preserve">[Correctly calculates the AT-WACC.] 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contextualSpacing/>
              <w:rPr>
                <w:rFonts w:ascii="Arial" w:eastAsia="Arial" w:hAnsi="Arial" w:cs="Arial"/>
              </w:rPr>
            </w:pPr>
            <w:r w:rsidRPr="00A456CF">
              <w:rPr>
                <w:rFonts w:ascii="Arial" w:eastAsia="Arial" w:hAnsi="Arial" w:cs="Arial"/>
                <w:b/>
              </w:rPr>
              <w:t xml:space="preserve">Criteria 3. Applies the calculated AT-WACC to explain why this is or is not a viable investment for him/her as the Angel Investor. 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DF1AC6">
            <w:pPr>
              <w:shd w:val="clear" w:color="auto" w:fill="FFFFFF"/>
              <w:tabs>
                <w:tab w:val="left" w:pos="360"/>
              </w:tabs>
              <w:ind w:right="60"/>
              <w:contextualSpacing/>
              <w:rPr>
                <w:rFonts w:ascii="Arial" w:eastAsia="Arial" w:hAnsi="Arial" w:cs="Arial"/>
                <w:b/>
              </w:rPr>
            </w:pPr>
            <w:r w:rsidRPr="00A456CF">
              <w:rPr>
                <w:rFonts w:ascii="Arial" w:eastAsia="Arial" w:hAnsi="Arial" w:cs="Arial"/>
              </w:rPr>
              <w:t xml:space="preserve">[Correctly assesses the significance of the difference between cost of debt versus Return on Investment </w:t>
            </w:r>
            <w:r w:rsidR="00127416" w:rsidRPr="00A456CF">
              <w:rPr>
                <w:rFonts w:ascii="Arial" w:eastAsia="Arial" w:hAnsi="Arial" w:cs="Arial"/>
              </w:rPr>
              <w:t>(ROI</w:t>
            </w:r>
            <w:r w:rsidRPr="00A456CF">
              <w:rPr>
                <w:rFonts w:ascii="Arial" w:eastAsia="Arial" w:hAnsi="Arial" w:cs="Arial"/>
              </w:rPr>
              <w:t>).]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contextualSpacing/>
              <w:rPr>
                <w:rFonts w:ascii="Arial" w:eastAsia="Arial" w:hAnsi="Arial" w:cs="Arial"/>
              </w:rPr>
            </w:pPr>
            <w:r w:rsidRPr="00A456CF">
              <w:rPr>
                <w:rFonts w:ascii="Arial" w:eastAsia="Arial" w:hAnsi="Arial" w:cs="Arial"/>
                <w:b/>
              </w:rPr>
              <w:t xml:space="preserve">Criteria 4. </w:t>
            </w:r>
            <w:r w:rsidRPr="00A456CF">
              <w:rPr>
                <w:rFonts w:ascii="Arial" w:eastAsia="Arial" w:hAnsi="Arial" w:cs="Arial"/>
                <w:b/>
                <w:highlight w:val="white"/>
              </w:rPr>
              <w:t>Explains what the entrepreneur’s financial restructuring AT- WACC (% Debt and % Equity) could be in order to create a positive ROI (the ROI benefits of changing the percentages of debt and equity</w:t>
            </w:r>
            <w:r w:rsidRPr="00A456CF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ind w:right="90"/>
              <w:contextualSpacing/>
              <w:rPr>
                <w:rFonts w:ascii="Arial" w:eastAsia="Arial" w:hAnsi="Arial" w:cs="Arial"/>
              </w:rPr>
            </w:pPr>
            <w:r w:rsidRPr="00A456CF">
              <w:rPr>
                <w:rFonts w:ascii="Arial" w:eastAsia="Arial" w:hAnsi="Arial" w:cs="Arial"/>
              </w:rPr>
              <w:t>Correctly integrates the differences between AT-WACC and ROI to make a financial investment decision.]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contextualSpacing/>
              <w:rPr>
                <w:rFonts w:ascii="Arial" w:eastAsia="Arial" w:hAnsi="Arial" w:cs="Arial"/>
                <w:b/>
              </w:rPr>
            </w:pPr>
            <w:r w:rsidRPr="00A456CF">
              <w:rPr>
                <w:rFonts w:ascii="Arial" w:eastAsia="Arial" w:hAnsi="Arial" w:cs="Arial"/>
                <w:b/>
              </w:rPr>
              <w:t>Criteria 5: Explains why, if he/she as the Angel Investor would require more or less debt versus equity financing. Be sure to note the nature of the claims, secured debt v</w:t>
            </w:r>
            <w:r w:rsidR="00127416">
              <w:rPr>
                <w:rFonts w:ascii="Arial" w:eastAsia="Arial" w:hAnsi="Arial" w:cs="Arial"/>
                <w:b/>
              </w:rPr>
              <w:t>er</w:t>
            </w:r>
            <w:r w:rsidRPr="00A456CF">
              <w:rPr>
                <w:rFonts w:ascii="Arial" w:eastAsia="Arial" w:hAnsi="Arial" w:cs="Arial"/>
                <w:b/>
              </w:rPr>
              <w:t>s</w:t>
            </w:r>
            <w:r w:rsidR="00127416">
              <w:rPr>
                <w:rFonts w:ascii="Arial" w:eastAsia="Arial" w:hAnsi="Arial" w:cs="Arial"/>
                <w:b/>
              </w:rPr>
              <w:t>us</w:t>
            </w:r>
            <w:r w:rsidRPr="00A456CF">
              <w:rPr>
                <w:rFonts w:ascii="Arial" w:eastAsia="Arial" w:hAnsi="Arial" w:cs="Arial"/>
                <w:b/>
              </w:rPr>
              <w:t xml:space="preserve"> equity financing on assets in times of a bankruptcy.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AF476C" w:rsidP="00A456CF">
            <w:pPr>
              <w:shd w:val="clear" w:color="auto" w:fill="FFFFFF"/>
              <w:tabs>
                <w:tab w:val="left" w:pos="360"/>
              </w:tabs>
              <w:ind w:right="90"/>
              <w:contextualSpacing/>
              <w:rPr>
                <w:rFonts w:ascii="Arial" w:eastAsia="Arial" w:hAnsi="Arial" w:cs="Arial"/>
              </w:rPr>
            </w:pPr>
            <w:r w:rsidRPr="00A456CF">
              <w:rPr>
                <w:rFonts w:ascii="Arial" w:eastAsia="Arial" w:hAnsi="Arial" w:cs="Arial"/>
              </w:rPr>
              <w:t>[Differentiates the nature of secured debt financing versus that of equity.]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ED" w:rsidRPr="00A456CF" w:rsidRDefault="002330ED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E416DC" w:rsidRDefault="00A456CF" w:rsidP="00A456CF">
            <w:pPr>
              <w:contextualSpacing/>
              <w:rPr>
                <w:rFonts w:ascii="Arial" w:eastAsia="Arial" w:hAnsi="Arial" w:cs="Arial"/>
              </w:rPr>
            </w:pPr>
            <w:r w:rsidRPr="00E416DC">
              <w:rPr>
                <w:rFonts w:ascii="Arial" w:eastAsia="Arial" w:hAnsi="Arial" w:cs="Arial"/>
                <w:b/>
              </w:rPr>
              <w:t>Overall # Bold Criteria Met/Not Yet Met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A456CF" w:rsidRDefault="00A456CF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A456CF" w:rsidRDefault="00A456CF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456CF" w:rsidRPr="00A456CF" w:rsidTr="00127416">
        <w:trPr>
          <w:trHeight w:val="500"/>
        </w:trPr>
        <w:tc>
          <w:tcPr>
            <w:tcW w:w="7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E416DC" w:rsidRDefault="00A456CF" w:rsidP="00A456CF">
            <w:pPr>
              <w:contextualSpacing/>
              <w:rPr>
                <w:rFonts w:ascii="Arial" w:eastAsia="Arial" w:hAnsi="Arial" w:cs="Arial"/>
              </w:rPr>
            </w:pPr>
            <w:r w:rsidRPr="00E416DC">
              <w:rPr>
                <w:rFonts w:ascii="Arial" w:eastAsia="Arial" w:hAnsi="Arial" w:cs="Arial"/>
              </w:rPr>
              <w:t>[Overall # Mastery Criteria Met/Not Yet Met]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A456CF" w:rsidRDefault="00A456CF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CF" w:rsidRPr="00A456CF" w:rsidRDefault="00A456CF" w:rsidP="00A456CF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2330ED" w:rsidRPr="00A456CF" w:rsidRDefault="002330ED">
      <w:pPr>
        <w:rPr>
          <w:rFonts w:ascii="Arial" w:eastAsia="Times New Roman" w:hAnsi="Arial" w:cs="Arial"/>
        </w:rPr>
      </w:pPr>
    </w:p>
    <w:p w:rsidR="002330ED" w:rsidRPr="00A456CF" w:rsidRDefault="002330ED">
      <w:pPr>
        <w:rPr>
          <w:rFonts w:ascii="Arial" w:hAnsi="Arial" w:cs="Arial"/>
        </w:rPr>
      </w:pPr>
    </w:p>
    <w:p w:rsidR="002330ED" w:rsidRDefault="00AF47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highlight w:val="white"/>
        </w:rPr>
      </w:pPr>
      <w:r w:rsidRPr="00A456CF">
        <w:rPr>
          <w:rFonts w:ascii="Arial" w:eastAsia="Calibri" w:hAnsi="Arial" w:cs="Arial"/>
          <w:highlight w:val="white"/>
        </w:rPr>
        <w:t>The criterion statements in</w:t>
      </w:r>
      <w:r w:rsidRPr="00A456CF">
        <w:rPr>
          <w:rFonts w:ascii="Arial" w:eastAsia="Calibri" w:hAnsi="Arial" w:cs="Arial"/>
          <w:b/>
          <w:highlight w:val="white"/>
        </w:rPr>
        <w:t xml:space="preserve"> bold </w:t>
      </w:r>
      <w:r w:rsidRPr="00A456CF">
        <w:rPr>
          <w:rFonts w:ascii="Arial" w:eastAsia="Calibri" w:hAnsi="Arial" w:cs="Arial"/>
          <w:highlight w:val="white"/>
        </w:rPr>
        <w:t xml:space="preserve">are the minimum requirement to show competent performance on the course outcome; </w:t>
      </w:r>
      <w:r w:rsidRPr="00A456CF">
        <w:rPr>
          <w:rFonts w:ascii="Arial" w:eastAsia="Calibri" w:hAnsi="Arial" w:cs="Arial"/>
          <w:b/>
          <w:highlight w:val="white"/>
        </w:rPr>
        <w:t>all</w:t>
      </w:r>
      <w:r w:rsidRPr="00A456CF">
        <w:rPr>
          <w:rFonts w:ascii="Arial" w:eastAsia="Calibri" w:hAnsi="Arial" w:cs="Arial"/>
          <w:highlight w:val="white"/>
        </w:rPr>
        <w:t xml:space="preserve"> </w:t>
      </w:r>
      <w:r w:rsidRPr="00A456CF">
        <w:rPr>
          <w:rFonts w:ascii="Arial" w:eastAsia="Calibri" w:hAnsi="Arial" w:cs="Arial"/>
          <w:b/>
          <w:highlight w:val="white"/>
        </w:rPr>
        <w:t>bold</w:t>
      </w:r>
      <w:r w:rsidRPr="00A456CF">
        <w:rPr>
          <w:rFonts w:ascii="Arial" w:eastAsia="Calibri" w:hAnsi="Arial" w:cs="Arial"/>
          <w:highlight w:val="white"/>
        </w:rPr>
        <w:t xml:space="preserve"> criteria must be met to pass this Course Outcome.</w:t>
      </w:r>
    </w:p>
    <w:p w:rsidR="00A456CF" w:rsidRPr="00A456CF" w:rsidRDefault="00A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highlight w:val="white"/>
        </w:rPr>
      </w:pPr>
    </w:p>
    <w:p w:rsidR="002330ED" w:rsidRPr="00A456CF" w:rsidRDefault="00AF476C" w:rsidP="00DF1AC6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Arial" w:hAnsi="Arial" w:cs="Arial"/>
        </w:rPr>
      </w:pPr>
      <w:r w:rsidRPr="00A456CF">
        <w:rPr>
          <w:rFonts w:ascii="Arial" w:eastAsia="Calibri" w:hAnsi="Arial" w:cs="Arial"/>
          <w:highlight w:val="white"/>
        </w:rPr>
        <w:t>The criterion statements in [Brackets] represent mastery achievement.  A predefined number of mastery criteria must be achieved to earn an A grade, indicating mastery of the Course Outcome.</w:t>
      </w:r>
      <w:r w:rsidRPr="00A456CF">
        <w:rPr>
          <w:rFonts w:ascii="Arial" w:eastAsia="Arial" w:hAnsi="Arial" w:cs="Arial"/>
          <w:highlight w:val="white"/>
        </w:rPr>
        <w:t xml:space="preserve"> </w:t>
      </w:r>
    </w:p>
    <w:p w:rsidR="002330ED" w:rsidRPr="00A456CF" w:rsidRDefault="002330E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hAnsi="Arial" w:cs="Arial"/>
        </w:rPr>
      </w:pPr>
    </w:p>
    <w:p w:rsidR="002330ED" w:rsidRPr="00A456CF" w:rsidRDefault="00AF476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A456CF">
        <w:rPr>
          <w:rFonts w:ascii="Arial" w:eastAsia="Calibri" w:hAnsi="Arial" w:cs="Arial"/>
          <w:b/>
        </w:rPr>
        <w:lastRenderedPageBreak/>
        <w:t>CLA and Grade Criteria Chart</w:t>
      </w:r>
    </w:p>
    <w:p w:rsidR="002330ED" w:rsidRPr="00A456CF" w:rsidRDefault="002330E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tbl>
      <w:tblPr>
        <w:tblStyle w:val="a0"/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LA and Grade Criteria Chart"/>
      </w:tblPr>
      <w:tblGrid>
        <w:gridCol w:w="4878"/>
        <w:gridCol w:w="1050"/>
        <w:gridCol w:w="1770"/>
        <w:gridCol w:w="1770"/>
      </w:tblGrid>
      <w:tr w:rsidR="00A456CF" w:rsidRPr="00A456CF" w:rsidTr="00127416">
        <w:trPr>
          <w:tblHeader/>
        </w:trPr>
        <w:tc>
          <w:tcPr>
            <w:tcW w:w="4878" w:type="dxa"/>
            <w:shd w:val="clear" w:color="auto" w:fill="DBE5F1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CRITERIA</w:t>
            </w:r>
          </w:p>
        </w:tc>
        <w:tc>
          <w:tcPr>
            <w:tcW w:w="1050" w:type="dxa"/>
            <w:shd w:val="clear" w:color="auto" w:fill="DBE5F1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CLA Score</w:t>
            </w:r>
          </w:p>
        </w:tc>
        <w:tc>
          <w:tcPr>
            <w:tcW w:w="1770" w:type="dxa"/>
            <w:shd w:val="clear" w:color="auto" w:fill="DBE5F1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Grade</w:t>
            </w:r>
          </w:p>
        </w:tc>
        <w:tc>
          <w:tcPr>
            <w:tcW w:w="1770" w:type="dxa"/>
            <w:shd w:val="clear" w:color="auto" w:fill="DBE5F1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</w:rPr>
            </w:pPr>
            <w:r w:rsidRPr="00A456CF">
              <w:rPr>
                <w:rFonts w:ascii="Arial" w:eastAsia="Calibri" w:hAnsi="Arial" w:cs="Arial"/>
                <w:b/>
              </w:rPr>
              <w:t>Points</w:t>
            </w:r>
          </w:p>
        </w:tc>
      </w:tr>
      <w:tr w:rsidR="00A456CF" w:rsidRPr="00A456CF" w:rsidTr="00A456CF">
        <w:trPr>
          <w:trHeight w:val="560"/>
        </w:trPr>
        <w:tc>
          <w:tcPr>
            <w:tcW w:w="4878" w:type="dxa"/>
            <w:vAlign w:val="center"/>
          </w:tcPr>
          <w:p w:rsidR="002330ED" w:rsidRPr="00A456CF" w:rsidRDefault="00AF476C" w:rsidP="00A45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all </w:t>
            </w:r>
            <w:r w:rsidRPr="00A456CF">
              <w:rPr>
                <w:rFonts w:ascii="Arial" w:eastAsia="Calibri" w:hAnsi="Arial" w:cs="Arial"/>
                <w:b/>
              </w:rPr>
              <w:t>5</w:t>
            </w:r>
            <w:r w:rsidRPr="00A456CF">
              <w:rPr>
                <w:rFonts w:ascii="Arial" w:eastAsia="Calibri" w:hAnsi="Arial" w:cs="Arial"/>
              </w:rPr>
              <w:t xml:space="preserve"> </w:t>
            </w:r>
            <w:r w:rsidRPr="00A456CF">
              <w:rPr>
                <w:rFonts w:ascii="Arial" w:eastAsia="Calibri" w:hAnsi="Arial" w:cs="Arial"/>
                <w:b/>
              </w:rPr>
              <w:t>bold</w:t>
            </w:r>
            <w:r w:rsidRPr="00A456CF">
              <w:rPr>
                <w:rFonts w:ascii="Arial" w:eastAsia="Calibri" w:hAnsi="Arial" w:cs="Arial"/>
              </w:rPr>
              <w:t xml:space="preserve"> criteria and 3–5 of mastery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A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1,000</w:t>
            </w:r>
          </w:p>
        </w:tc>
      </w:tr>
      <w:tr w:rsidR="00A456CF" w:rsidRPr="00A456CF" w:rsidTr="00A456CF">
        <w:trPr>
          <w:trHeight w:val="620"/>
        </w:trPr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all </w:t>
            </w:r>
            <w:r w:rsidRPr="00A456CF">
              <w:rPr>
                <w:rFonts w:ascii="Arial" w:eastAsia="Calibri" w:hAnsi="Arial" w:cs="Arial"/>
                <w:b/>
              </w:rPr>
              <w:t>5</w:t>
            </w:r>
            <w:r w:rsidRPr="00A456CF">
              <w:rPr>
                <w:rFonts w:ascii="Arial" w:eastAsia="Calibri" w:hAnsi="Arial" w:cs="Arial"/>
              </w:rPr>
              <w:t xml:space="preserve"> </w:t>
            </w:r>
            <w:r w:rsidRPr="00A456CF">
              <w:rPr>
                <w:rFonts w:ascii="Arial" w:eastAsia="Calibri" w:hAnsi="Arial" w:cs="Arial"/>
                <w:b/>
              </w:rPr>
              <w:t xml:space="preserve">bold </w:t>
            </w:r>
            <w:r w:rsidRPr="00A456CF">
              <w:rPr>
                <w:rFonts w:ascii="Arial" w:eastAsia="Calibri" w:hAnsi="Arial" w:cs="Arial"/>
              </w:rPr>
              <w:t>criteria and 0–2 of mastery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B</w:t>
            </w:r>
          </w:p>
        </w:tc>
        <w:tc>
          <w:tcPr>
            <w:tcW w:w="1770" w:type="dxa"/>
            <w:vAlign w:val="center"/>
          </w:tcPr>
          <w:p w:rsidR="002330ED" w:rsidRPr="00A456CF" w:rsidRDefault="00AF476C" w:rsidP="00915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8</w:t>
            </w:r>
            <w:r w:rsidR="00915D67">
              <w:rPr>
                <w:rFonts w:ascii="Arial" w:eastAsia="Calibri" w:hAnsi="Arial" w:cs="Arial"/>
              </w:rPr>
              <w:t>5</w:t>
            </w:r>
            <w:bookmarkStart w:id="1" w:name="_GoBack"/>
            <w:bookmarkEnd w:id="1"/>
            <w:r w:rsidRPr="00A456CF">
              <w:rPr>
                <w:rFonts w:ascii="Arial" w:eastAsia="Calibri" w:hAnsi="Arial" w:cs="Arial"/>
              </w:rPr>
              <w:t>0</w:t>
            </w:r>
          </w:p>
        </w:tc>
      </w:tr>
      <w:tr w:rsidR="00A456CF" w:rsidRPr="00A456CF" w:rsidTr="00A456CF"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4 of </w:t>
            </w:r>
            <w:r w:rsidRPr="00A456CF">
              <w:rPr>
                <w:rFonts w:ascii="Arial" w:eastAsia="Calibri" w:hAnsi="Arial" w:cs="Arial"/>
                <w:b/>
              </w:rPr>
              <w:t>bold</w:t>
            </w:r>
            <w:r w:rsidRPr="00A456CF">
              <w:rPr>
                <w:rFonts w:ascii="Arial" w:eastAsia="Calibri" w:hAnsi="Arial" w:cs="Arial"/>
              </w:rPr>
              <w:t xml:space="preserve">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Not yet competent </w:t>
            </w:r>
          </w:p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(F at term end)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</w:tr>
      <w:tr w:rsidR="00A456CF" w:rsidRPr="00A456CF" w:rsidTr="00A456CF"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3 of </w:t>
            </w:r>
            <w:r w:rsidRPr="00A456CF">
              <w:rPr>
                <w:rFonts w:ascii="Arial" w:eastAsia="Calibri" w:hAnsi="Arial" w:cs="Arial"/>
                <w:b/>
              </w:rPr>
              <w:t>bold</w:t>
            </w:r>
            <w:r w:rsidRPr="00A456CF">
              <w:rPr>
                <w:rFonts w:ascii="Arial" w:eastAsia="Calibri" w:hAnsi="Arial" w:cs="Arial"/>
              </w:rPr>
              <w:t xml:space="preserve">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Not yet competent </w:t>
            </w:r>
          </w:p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(F at term end)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</w:tr>
      <w:tr w:rsidR="00A456CF" w:rsidRPr="00A456CF" w:rsidTr="00A456CF"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1–2  of </w:t>
            </w:r>
            <w:r w:rsidRPr="00A456CF">
              <w:rPr>
                <w:rFonts w:ascii="Arial" w:eastAsia="Calibri" w:hAnsi="Arial" w:cs="Arial"/>
                <w:b/>
              </w:rPr>
              <w:t>bold</w:t>
            </w:r>
            <w:r w:rsidRPr="00A456CF">
              <w:rPr>
                <w:rFonts w:ascii="Arial" w:eastAsia="Calibri" w:hAnsi="Arial" w:cs="Arial"/>
              </w:rPr>
              <w:t xml:space="preserve">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Not yet competent </w:t>
            </w:r>
          </w:p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(F at term end)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</w:tr>
      <w:tr w:rsidR="00A456CF" w:rsidRPr="00A456CF" w:rsidTr="00A456CF"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Meets no </w:t>
            </w:r>
            <w:r w:rsidRPr="00A456CF">
              <w:rPr>
                <w:rFonts w:ascii="Arial" w:eastAsia="Calibri" w:hAnsi="Arial" w:cs="Arial"/>
                <w:b/>
              </w:rPr>
              <w:t>bold</w:t>
            </w:r>
            <w:r w:rsidRPr="00A456CF">
              <w:rPr>
                <w:rFonts w:ascii="Arial" w:eastAsia="Calibri" w:hAnsi="Arial" w:cs="Arial"/>
              </w:rPr>
              <w:t xml:space="preserve"> criteria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Not yet competent </w:t>
            </w:r>
          </w:p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(F at term end)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</w:tr>
      <w:tr w:rsidR="00A456CF" w:rsidRPr="00A456CF" w:rsidTr="00A456CF">
        <w:tc>
          <w:tcPr>
            <w:tcW w:w="4878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No submission</w:t>
            </w:r>
          </w:p>
        </w:tc>
        <w:tc>
          <w:tcPr>
            <w:tcW w:w="105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NA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 xml:space="preserve">Not yet competent </w:t>
            </w:r>
          </w:p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  <w:r w:rsidRPr="00A456CF">
              <w:rPr>
                <w:rFonts w:ascii="Arial" w:eastAsia="Calibri" w:hAnsi="Arial" w:cs="Arial"/>
              </w:rPr>
              <w:t>(F at term end)</w:t>
            </w:r>
          </w:p>
        </w:tc>
        <w:tc>
          <w:tcPr>
            <w:tcW w:w="1770" w:type="dxa"/>
            <w:vAlign w:val="center"/>
          </w:tcPr>
          <w:p w:rsidR="002330ED" w:rsidRPr="00A456CF" w:rsidRDefault="00AF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A456CF">
              <w:rPr>
                <w:rFonts w:ascii="Arial" w:eastAsia="Calibri" w:hAnsi="Arial" w:cs="Arial"/>
              </w:rPr>
              <w:t>0</w:t>
            </w:r>
          </w:p>
        </w:tc>
      </w:tr>
    </w:tbl>
    <w:p w:rsidR="002330ED" w:rsidRPr="00A456CF" w:rsidRDefault="002330E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hAnsi="Arial" w:cs="Arial"/>
          <w:shd w:val="clear" w:color="auto" w:fill="FCE5CD"/>
        </w:rPr>
      </w:pPr>
    </w:p>
    <w:p w:rsidR="002330ED" w:rsidRPr="00A456CF" w:rsidRDefault="002330ED">
      <w:pPr>
        <w:rPr>
          <w:rFonts w:ascii="Arial" w:hAnsi="Arial" w:cs="Arial"/>
        </w:rPr>
      </w:pPr>
    </w:p>
    <w:sectPr w:rsidR="002330ED" w:rsidRPr="00A456CF" w:rsidSect="00A456CF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D1" w:rsidRDefault="001144D1" w:rsidP="00A456CF">
      <w:r>
        <w:separator/>
      </w:r>
    </w:p>
  </w:endnote>
  <w:endnote w:type="continuationSeparator" w:id="0">
    <w:p w:rsidR="001144D1" w:rsidRDefault="001144D1" w:rsidP="00A4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2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6CF" w:rsidRDefault="00A456C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D6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A456CF" w:rsidRDefault="00A4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D1" w:rsidRDefault="001144D1" w:rsidP="00A456CF">
      <w:r>
        <w:separator/>
      </w:r>
    </w:p>
  </w:footnote>
  <w:footnote w:type="continuationSeparator" w:id="0">
    <w:p w:rsidR="001144D1" w:rsidRDefault="001144D1" w:rsidP="00A4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F" w:rsidRPr="00A456CF" w:rsidRDefault="00A456CF" w:rsidP="00A456CF">
    <w:pPr>
      <w:pBdr>
        <w:top w:val="nil"/>
        <w:left w:val="nil"/>
        <w:bottom w:val="nil"/>
        <w:right w:val="nil"/>
        <w:between w:val="nil"/>
      </w:pBdr>
      <w:spacing w:before="240"/>
      <w:rPr>
        <w:rFonts w:ascii="Arial" w:hAnsi="Arial" w:cs="Arial"/>
        <w:b/>
      </w:rPr>
    </w:pPr>
    <w:r w:rsidRPr="00076399">
      <w:rPr>
        <w:rFonts w:ascii="Arial" w:eastAsia="Calibri" w:hAnsi="Arial" w:cs="Arial"/>
        <w:b/>
        <w:highlight w:val="white"/>
      </w:rPr>
      <w:t>MT480M</w:t>
    </w:r>
    <w:r>
      <w:rPr>
        <w:rFonts w:ascii="Arial" w:eastAsia="Calibri" w:hAnsi="Arial" w:cs="Arial"/>
        <w:b/>
        <w:highlight w:val="white"/>
      </w:rPr>
      <w:t>6</w:t>
    </w:r>
    <w:r w:rsidRPr="00076399">
      <w:rPr>
        <w:rFonts w:ascii="Arial" w:eastAsia="Calibri" w:hAnsi="Arial" w:cs="Arial"/>
        <w:b/>
        <w:highlight w:val="white"/>
      </w:rPr>
      <w:t xml:space="preserve"> </w:t>
    </w:r>
    <w:r>
      <w:rPr>
        <w:rFonts w:ascii="Arial" w:eastAsia="Calibri" w:hAnsi="Arial" w:cs="Arial"/>
        <w:b/>
        <w:highlight w:val="white"/>
      </w:rPr>
      <w:t xml:space="preserve">Checklist </w:t>
    </w:r>
    <w:r w:rsidRPr="00076399">
      <w:rPr>
        <w:rFonts w:ascii="Arial" w:eastAsia="Calibri" w:hAnsi="Arial" w:cs="Arial"/>
        <w:b/>
        <w:highlight w:val="white"/>
      </w:rPr>
      <w:t>Rubric</w:t>
    </w:r>
    <w:r>
      <w:rPr>
        <w:rFonts w:ascii="Arial" w:eastAsia="Calibri" w:hAnsi="Arial" w:cs="Arial"/>
        <w:b/>
        <w:highlight w:val="white"/>
      </w:rPr>
      <w:t xml:space="preserve"> and </w:t>
    </w:r>
    <w:r w:rsidRPr="00076399">
      <w:rPr>
        <w:rFonts w:ascii="Arial" w:eastAsia="Calibri" w:hAnsi="Arial" w:cs="Arial"/>
        <w:b/>
      </w:rPr>
      <w:t>CLA and Grade Criteria Chart</w:t>
    </w:r>
  </w:p>
  <w:p w:rsidR="00A456CF" w:rsidRDefault="00A45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D"/>
    <w:rsid w:val="00093DA5"/>
    <w:rsid w:val="001144D1"/>
    <w:rsid w:val="00127416"/>
    <w:rsid w:val="002330ED"/>
    <w:rsid w:val="00915D67"/>
    <w:rsid w:val="00946737"/>
    <w:rsid w:val="00A456CF"/>
    <w:rsid w:val="00AF476C"/>
    <w:rsid w:val="00D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594"/>
  <w15:docId w15:val="{2BAFF77E-3341-47C5-8BF0-A3EAB85D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6CF"/>
  </w:style>
  <w:style w:type="paragraph" w:styleId="Footer">
    <w:name w:val="footer"/>
    <w:basedOn w:val="Normal"/>
    <w:link w:val="FooterChar"/>
    <w:uiPriority w:val="99"/>
    <w:unhideWhenUsed/>
    <w:rsid w:val="00A45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H. Rodriguez</dc:creator>
  <cp:lastModifiedBy>Natalie Rodriguez</cp:lastModifiedBy>
  <cp:revision>5</cp:revision>
  <dcterms:created xsi:type="dcterms:W3CDTF">2018-10-12T13:35:00Z</dcterms:created>
  <dcterms:modified xsi:type="dcterms:W3CDTF">2019-04-10T16:44:00Z</dcterms:modified>
</cp:coreProperties>
</file>