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jdgxs" w:id="0"/>
      <w:bookmarkEnd w:id="0"/>
      <w:r w:rsidDel="00000000" w:rsidR="00000000" w:rsidRPr="00000000">
        <w:rPr>
          <w:rtl w:val="0"/>
        </w:rPr>
        <w:t xml:space="preserve">Competency Assessment Rubric</w:t>
      </w:r>
    </w:p>
    <w:p w:rsidR="00000000" w:rsidDel="00000000" w:rsidP="00000000" w:rsidRDefault="00000000" w:rsidRPr="00000000" w14:paraId="00000002">
      <w:pPr>
        <w:spacing w:line="240" w:lineRule="auto"/>
        <w:rPr>
          <w:b w:val="1"/>
          <w:shd w:fill="fce5cd" w:val="clear"/>
        </w:rPr>
      </w:pPr>
      <w:r w:rsidDel="00000000" w:rsidR="00000000" w:rsidRPr="00000000">
        <w:rPr>
          <w:rtl w:val="0"/>
        </w:rPr>
      </w:r>
    </w:p>
    <w:p w:rsidR="00000000" w:rsidDel="00000000" w:rsidP="00000000" w:rsidRDefault="00000000" w:rsidRPr="00000000" w14:paraId="00000003">
      <w:pPr>
        <w:spacing w:line="240" w:lineRule="auto"/>
        <w:rPr>
          <w:highlight w:val="white"/>
        </w:rPr>
      </w:pPr>
      <w:r w:rsidDel="00000000" w:rsidR="00000000" w:rsidRPr="00000000">
        <w:rPr>
          <w:highlight w:val="white"/>
          <w:rtl w:val="0"/>
        </w:rPr>
        <w:t xml:space="preserve">All </w:t>
      </w:r>
      <w:r w:rsidDel="00000000" w:rsidR="00000000" w:rsidRPr="00000000">
        <w:rPr>
          <w:i w:val="1"/>
          <w:highlight w:val="white"/>
          <w:rtl w:val="0"/>
        </w:rPr>
        <w:t xml:space="preserve">competency</w:t>
      </w:r>
      <w:r w:rsidDel="00000000" w:rsidR="00000000" w:rsidRPr="00000000">
        <w:rPr>
          <w:highlight w:val="white"/>
          <w:rtl w:val="0"/>
        </w:rPr>
        <w:t xml:space="preserve"> criteria must be met to earn a B grade and pass this Course Outcome. </w:t>
      </w:r>
    </w:p>
    <w:p w:rsidR="00000000" w:rsidDel="00000000" w:rsidP="00000000" w:rsidRDefault="00000000" w:rsidRPr="00000000" w14:paraId="00000004">
      <w:pPr>
        <w:spacing w:line="240" w:lineRule="auto"/>
        <w:rPr>
          <w:highlight w:val="white"/>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highlight w:val="white"/>
          <w:rtl w:val="0"/>
        </w:rPr>
        <w:t xml:space="preserve">A predefined number of </w:t>
      </w:r>
      <w:r w:rsidDel="00000000" w:rsidR="00000000" w:rsidRPr="00000000">
        <w:rPr>
          <w:i w:val="1"/>
          <w:highlight w:val="white"/>
          <w:rtl w:val="0"/>
        </w:rPr>
        <w:t xml:space="preserve">mastery</w:t>
      </w:r>
      <w:r w:rsidDel="00000000" w:rsidR="00000000" w:rsidRPr="00000000">
        <w:rPr>
          <w:highlight w:val="white"/>
          <w:rtl w:val="0"/>
        </w:rPr>
        <w:t xml:space="preserve"> criteria must be met to earn an A grade, indicating mastery of the Course Outcome. See the </w:t>
      </w:r>
      <w:r w:rsidDel="00000000" w:rsidR="00000000" w:rsidRPr="00000000">
        <w:rPr>
          <w:i w:val="1"/>
          <w:highlight w:val="white"/>
          <w:rtl w:val="0"/>
        </w:rPr>
        <w:t xml:space="preserve">CLA and Grade Criteria Chart</w:t>
      </w:r>
      <w:r w:rsidDel="00000000" w:rsidR="00000000" w:rsidRPr="00000000">
        <w:rPr>
          <w:highlight w:val="white"/>
          <w:rtl w:val="0"/>
        </w:rPr>
        <w:t xml:space="preserve"> below.</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5"/>
        <w:gridCol w:w="1140"/>
        <w:gridCol w:w="1140"/>
        <w:tblGridChange w:id="0">
          <w:tblGrid>
            <w:gridCol w:w="7065"/>
            <w:gridCol w:w="1140"/>
            <w:gridCol w:w="1140"/>
          </w:tblGrid>
        </w:tblGridChange>
      </w:tblGrid>
      <w:tr>
        <w:tc>
          <w:tcPr>
            <w:tcBorders>
              <w:bottom w:color="000000" w:space="0" w:sz="4" w:val="single"/>
            </w:tcBorders>
          </w:tcPr>
          <w:p w:rsidR="00000000" w:rsidDel="00000000" w:rsidP="00000000" w:rsidRDefault="00000000" w:rsidRPr="00000000" w14:paraId="00000007">
            <w:pPr>
              <w:rPr>
                <w:shd w:fill="fce5cd" w:val="clea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8">
            <w:pPr>
              <w:jc w:val="center"/>
              <w:rPr>
                <w:shd w:fill="fce5cd" w:val="clear"/>
              </w:rPr>
            </w:pPr>
            <w:r w:rsidDel="00000000" w:rsidR="00000000" w:rsidRPr="00000000">
              <w:rPr>
                <w:b w:val="1"/>
                <w:rtl w:val="0"/>
              </w:rPr>
              <w:t xml:space="preserve">MET</w:t>
            </w:r>
            <w:r w:rsidDel="00000000" w:rsidR="00000000" w:rsidRPr="00000000">
              <w:rPr>
                <w:rtl w:val="0"/>
              </w:rPr>
            </w:r>
          </w:p>
        </w:tc>
        <w:tc>
          <w:tcPr>
            <w:tcBorders>
              <w:bottom w:color="000000" w:space="0" w:sz="4" w:val="single"/>
            </w:tcBorders>
          </w:tcPr>
          <w:p w:rsidR="00000000" w:rsidDel="00000000" w:rsidP="00000000" w:rsidRDefault="00000000" w:rsidRPr="00000000" w14:paraId="00000009">
            <w:pPr>
              <w:jc w:val="center"/>
              <w:rPr>
                <w:shd w:fill="fce5cd" w:val="clear"/>
              </w:rPr>
            </w:pPr>
            <w:r w:rsidDel="00000000" w:rsidR="00000000" w:rsidRPr="00000000">
              <w:rPr>
                <w:b w:val="1"/>
                <w:rtl w:val="0"/>
              </w:rPr>
              <w:t xml:space="preserve">NOT YET MET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shd w:fill="ffc000" w:val="clear"/>
          </w:tcPr>
          <w:p w:rsidR="00000000" w:rsidDel="00000000" w:rsidP="00000000" w:rsidRDefault="00000000" w:rsidRPr="00000000" w14:paraId="0000000A">
            <w:pPr>
              <w:widowControl w:val="0"/>
              <w:rPr>
                <w:b w:val="1"/>
              </w:rPr>
            </w:pPr>
            <w:r w:rsidDel="00000000" w:rsidR="00000000" w:rsidRPr="00000000">
              <w:rPr>
                <w:b w:val="1"/>
                <w:rtl w:val="0"/>
              </w:rPr>
              <w:t xml:space="preserve">Cash Flow Analysis</w:t>
            </w:r>
          </w:p>
        </w:tc>
        <w:tc>
          <w:tcPr>
            <w:tcBorders>
              <w:top w:color="000000" w:space="0" w:sz="4" w:val="single"/>
              <w:left w:color="000000" w:space="0" w:sz="0" w:val="nil"/>
              <w:bottom w:color="000000" w:space="0" w:sz="4" w:val="single"/>
              <w:right w:color="000000" w:space="0" w:sz="0" w:val="nil"/>
            </w:tcBorders>
            <w:shd w:fill="ffc000" w:val="clear"/>
          </w:tcPr>
          <w:p w:rsidR="00000000" w:rsidDel="00000000" w:rsidP="00000000" w:rsidRDefault="00000000" w:rsidRPr="00000000" w14:paraId="0000000B">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0C">
            <w:pPr>
              <w:rPr>
                <w:shd w:fill="fce5cd"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0D">
            <w:pPr>
              <w:rPr>
                <w:shd w:fill="fce5cd" w:val="clear"/>
              </w:rPr>
            </w:pPr>
            <w:r w:rsidDel="00000000" w:rsidR="00000000" w:rsidRPr="00000000">
              <w:rPr>
                <w:b w:val="1"/>
                <w:rtl w:val="0"/>
              </w:rPr>
              <w:t xml:space="preserve"> Competency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0E">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0F">
            <w:pPr>
              <w:rPr>
                <w:shd w:fill="fce5cd" w:val="clea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ind w:left="1440" w:hanging="720"/>
              <w:rPr>
                <w:shd w:fill="fce5cd" w:val="clear"/>
              </w:rPr>
            </w:pPr>
            <w:r w:rsidDel="00000000" w:rsidR="00000000" w:rsidRPr="00000000">
              <w:rPr>
                <w:rtl w:val="0"/>
              </w:rPr>
              <w:t xml:space="preserve">Provides a financial analysis of the chart of cash revenues and costs and shows an understanding of the cash flow results.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1">
            <w:pPr>
              <w:rPr>
                <w:shd w:fill="fce5cd" w:val="clea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2">
            <w:pPr>
              <w:rPr>
                <w:shd w:fill="fce5cd" w:val="clea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13">
            <w:pPr>
              <w:ind w:left="1440" w:hanging="720"/>
              <w:rPr>
                <w:shd w:fill="fce5cd" w:val="clear"/>
              </w:rPr>
            </w:pPr>
            <w:r w:rsidDel="00000000" w:rsidR="00000000" w:rsidRPr="00000000">
              <w:rPr>
                <w:rtl w:val="0"/>
              </w:rPr>
              <w:t xml:space="preserve">Includes one example and provides a recommendation based on some of the facts.</w:t>
            </w:r>
            <w:r w:rsidDel="00000000" w:rsidR="00000000" w:rsidRPr="00000000">
              <w:rPr>
                <w:rtl w:val="0"/>
              </w:rPr>
            </w:r>
          </w:p>
        </w:tc>
        <w:tc>
          <w:tcPr>
            <w:tcBorders>
              <w:bottom w:color="000000" w:space="0" w:sz="4" w:val="single"/>
            </w:tcBorders>
          </w:tcPr>
          <w:p w:rsidR="00000000" w:rsidDel="00000000" w:rsidP="00000000" w:rsidRDefault="00000000" w:rsidRPr="00000000" w14:paraId="00000014">
            <w:pPr>
              <w:rPr>
                <w:shd w:fill="fce5cd" w:val="clea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5">
            <w:pPr>
              <w:rPr>
                <w:shd w:fill="fce5cd"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16">
            <w:pPr>
              <w:rPr>
                <w:shd w:fill="fce5cd" w:val="clear"/>
              </w:rPr>
            </w:pPr>
            <w:r w:rsidDel="00000000" w:rsidR="00000000" w:rsidRPr="00000000">
              <w:rPr>
                <w:b w:val="1"/>
                <w:rtl w:val="0"/>
              </w:rPr>
              <w:t xml:space="preserve"> Mastery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17">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18">
            <w:pPr>
              <w:rPr>
                <w:shd w:fill="fce5cd" w:val="clear"/>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19">
            <w:pPr>
              <w:ind w:left="1440" w:hanging="720"/>
              <w:rPr>
                <w:shd w:fill="fce5cd" w:val="clear"/>
              </w:rPr>
            </w:pPr>
            <w:r w:rsidDel="00000000" w:rsidR="00000000" w:rsidRPr="00000000">
              <w:rPr>
                <w:rtl w:val="0"/>
              </w:rPr>
              <w:t xml:space="preserve">Includes two or more examples and provides a logical financial analysis showing an understanding of the cash flow results. </w:t>
            </w:r>
            <w:r w:rsidDel="00000000" w:rsidR="00000000" w:rsidRPr="00000000">
              <w:rPr>
                <w:rtl w:val="0"/>
              </w:rPr>
            </w:r>
          </w:p>
        </w:tc>
        <w:tc>
          <w:tcPr>
            <w:tcBorders>
              <w:top w:color="000000" w:space="0" w:sz="4" w:val="single"/>
            </w:tcBorders>
          </w:tcPr>
          <w:p w:rsidR="00000000" w:rsidDel="00000000" w:rsidP="00000000" w:rsidRDefault="00000000" w:rsidRPr="00000000" w14:paraId="0000001A">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B">
            <w:pPr>
              <w:rPr>
                <w:shd w:fill="fce5cd"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shd w:fill="ffc000" w:val="clear"/>
          </w:tcPr>
          <w:p w:rsidR="00000000" w:rsidDel="00000000" w:rsidP="00000000" w:rsidRDefault="00000000" w:rsidRPr="00000000" w14:paraId="0000001C">
            <w:pPr>
              <w:rPr>
                <w:shd w:fill="fce5cd" w:val="clear"/>
              </w:rPr>
            </w:pPr>
            <w:r w:rsidDel="00000000" w:rsidR="00000000" w:rsidRPr="00000000">
              <w:rPr>
                <w:b w:val="1"/>
                <w:rtl w:val="0"/>
              </w:rPr>
              <w:t xml:space="preserve">Recommendation</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c000" w:val="clear"/>
          </w:tcPr>
          <w:p w:rsidR="00000000" w:rsidDel="00000000" w:rsidP="00000000" w:rsidRDefault="00000000" w:rsidRPr="00000000" w14:paraId="0000001D">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1E">
            <w:pPr>
              <w:rPr>
                <w:shd w:fill="fce5cd"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1F">
            <w:pPr>
              <w:rPr>
                <w:shd w:fill="fce5cd" w:val="clear"/>
              </w:rPr>
            </w:pPr>
            <w:r w:rsidDel="00000000" w:rsidR="00000000" w:rsidRPr="00000000">
              <w:rPr>
                <w:b w:val="1"/>
                <w:rtl w:val="0"/>
              </w:rPr>
              <w:t xml:space="preserve"> Competency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20">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21">
            <w:pPr>
              <w:rPr>
                <w:shd w:fill="fce5cd" w:val="clea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2">
            <w:pPr>
              <w:ind w:left="1440" w:hanging="720"/>
              <w:rPr>
                <w:shd w:fill="fce5cd" w:val="clear"/>
              </w:rPr>
            </w:pPr>
            <w:r w:rsidDel="00000000" w:rsidR="00000000" w:rsidRPr="00000000">
              <w:rPr>
                <w:rtl w:val="0"/>
              </w:rPr>
              <w:t xml:space="preserve">Provides a clear recommendation on whether to accept or reject the project, including only one reason for the recommendation.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3">
            <w:pPr>
              <w:rPr>
                <w:shd w:fill="fce5cd" w:val="clea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rPr>
                <w:shd w:fill="fce5cd"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25">
            <w:pPr>
              <w:rPr>
                <w:shd w:fill="fce5cd" w:val="clear"/>
              </w:rPr>
            </w:pPr>
            <w:r w:rsidDel="00000000" w:rsidR="00000000" w:rsidRPr="00000000">
              <w:rPr>
                <w:b w:val="1"/>
                <w:rtl w:val="0"/>
              </w:rPr>
              <w:t xml:space="preserve"> Mastery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26">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27">
            <w:pPr>
              <w:rPr>
                <w:shd w:fill="fce5cd" w:val="clea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8">
            <w:pPr>
              <w:ind w:left="1440" w:hanging="720"/>
              <w:rPr>
                <w:shd w:fill="fce5cd" w:val="clear"/>
              </w:rPr>
            </w:pPr>
            <w:r w:rsidDel="00000000" w:rsidR="00000000" w:rsidRPr="00000000">
              <w:rPr>
                <w:rtl w:val="0"/>
              </w:rPr>
              <w:t xml:space="preserve">Provides a clear recommendation on whether to accept or reject the project, including two or more reasons for the recommendation.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9">
            <w:pPr>
              <w:rPr>
                <w:shd w:fill="fce5cd" w:val="clea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A">
            <w:pPr>
              <w:rPr>
                <w:shd w:fill="fce5cd" w:val="clear"/>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2B">
            <w:pPr>
              <w:ind w:left="720" w:firstLine="0"/>
              <w:jc w:val="right"/>
              <w:rPr>
                <w:b w:val="1"/>
              </w:rPr>
            </w:pPr>
            <w:r w:rsidDel="00000000" w:rsidR="00000000" w:rsidRPr="00000000">
              <w:rPr>
                <w:b w:val="1"/>
                <w:rtl w:val="0"/>
              </w:rPr>
              <w:t xml:space="preserve">Total Competency Criteria:</w:t>
            </w:r>
          </w:p>
        </w:tc>
        <w:tc>
          <w:tcPr>
            <w:tcBorders>
              <w:top w:color="000000" w:space="0" w:sz="4" w:val="single"/>
            </w:tcBorders>
          </w:tcPr>
          <w:p w:rsidR="00000000" w:rsidDel="00000000" w:rsidP="00000000" w:rsidRDefault="00000000" w:rsidRPr="00000000" w14:paraId="0000002C">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rPr>
                <w:shd w:fill="fce5cd" w:val="clear"/>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2E">
            <w:pPr>
              <w:ind w:left="720" w:firstLine="0"/>
              <w:jc w:val="right"/>
              <w:rPr>
                <w:b w:val="1"/>
              </w:rPr>
            </w:pPr>
            <w:r w:rsidDel="00000000" w:rsidR="00000000" w:rsidRPr="00000000">
              <w:rPr>
                <w:b w:val="1"/>
                <w:rtl w:val="0"/>
              </w:rPr>
              <w:t xml:space="preserve">Total Mastery Criteria:</w:t>
            </w:r>
          </w:p>
        </w:tc>
        <w:tc>
          <w:tcPr>
            <w:tcBorders>
              <w:top w:color="000000" w:space="0" w:sz="4" w:val="single"/>
            </w:tcBorders>
          </w:tcPr>
          <w:p w:rsidR="00000000" w:rsidDel="00000000" w:rsidP="00000000" w:rsidRDefault="00000000" w:rsidRPr="00000000" w14:paraId="0000002F">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rPr>
                <w:shd w:fill="fce5cd" w:val="clear"/>
              </w:rPr>
            </w:pPr>
            <w:r w:rsidDel="00000000" w:rsidR="00000000" w:rsidRPr="00000000">
              <w:rPr>
                <w:rtl w:val="0"/>
              </w:rPr>
            </w:r>
          </w:p>
        </w:tc>
      </w:tr>
    </w:tbl>
    <w:p w:rsidR="00000000" w:rsidDel="00000000" w:rsidP="00000000" w:rsidRDefault="00000000" w:rsidRPr="00000000" w14:paraId="00000031">
      <w:pPr>
        <w:spacing w:line="240" w:lineRule="auto"/>
        <w:rPr>
          <w:color w:val="333333"/>
          <w:shd w:fill="fce5cd" w:val="clear"/>
        </w:rPr>
      </w:pPr>
      <w:r w:rsidDel="00000000" w:rsidR="00000000" w:rsidRPr="00000000">
        <w:rPr>
          <w:rtl w:val="0"/>
        </w:rPr>
      </w:r>
    </w:p>
    <w:p w:rsidR="00000000" w:rsidDel="00000000" w:rsidP="00000000" w:rsidRDefault="00000000" w:rsidRPr="00000000" w14:paraId="00000032">
      <w:pPr>
        <w:spacing w:line="240" w:lineRule="auto"/>
        <w:rPr>
          <w:color w:val="333333"/>
          <w:shd w:fill="fce5cd" w:val="clear"/>
        </w:rPr>
      </w:pPr>
      <w:r w:rsidDel="00000000" w:rsidR="00000000" w:rsidRPr="00000000">
        <w:rPr>
          <w:rtl w:val="0"/>
        </w:rPr>
      </w:r>
    </w:p>
    <w:p w:rsidR="00000000" w:rsidDel="00000000" w:rsidP="00000000" w:rsidRDefault="00000000" w:rsidRPr="00000000" w14:paraId="00000033">
      <w:pPr>
        <w:pStyle w:val="Heading2"/>
        <w:spacing w:line="240" w:lineRule="auto"/>
        <w:jc w:val="center"/>
        <w:rPr/>
      </w:pPr>
      <w:bookmarkStart w:colFirst="0" w:colLast="0" w:name="_heading=h.30j0zll" w:id="1"/>
      <w:bookmarkEnd w:id="1"/>
      <w:r w:rsidDel="00000000" w:rsidR="00000000" w:rsidRPr="00000000">
        <w:rPr>
          <w:rtl w:val="0"/>
        </w:rPr>
        <w:t xml:space="preserve">CLA and Grade Criteria Chart</w:t>
      </w:r>
    </w:p>
    <w:p w:rsidR="00000000" w:rsidDel="00000000" w:rsidP="00000000" w:rsidRDefault="00000000" w:rsidRPr="00000000" w14:paraId="00000034">
      <w:pPr>
        <w:spacing w:line="240" w:lineRule="auto"/>
        <w:rPr/>
      </w:pPr>
      <w:r w:rsidDel="00000000" w:rsidR="00000000" w:rsidRPr="00000000">
        <w:rPr>
          <w:rtl w:val="0"/>
        </w:rPr>
      </w:r>
    </w:p>
    <w:tbl>
      <w:tblPr>
        <w:tblStyle w:val="Table2"/>
        <w:tblW w:w="90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0"/>
        <w:gridCol w:w="960"/>
        <w:gridCol w:w="1410"/>
        <w:gridCol w:w="930"/>
        <w:tblGridChange w:id="0">
          <w:tblGrid>
            <w:gridCol w:w="5700"/>
            <w:gridCol w:w="960"/>
            <w:gridCol w:w="1410"/>
            <w:gridCol w:w="930"/>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35">
            <w:pPr>
              <w:spacing w:line="259" w:lineRule="auto"/>
              <w:rPr>
                <w:b w:val="1"/>
              </w:rPr>
            </w:pPr>
            <w:r w:rsidDel="00000000" w:rsidR="00000000" w:rsidRPr="00000000">
              <w:rPr>
                <w:b w:val="1"/>
                <w:rtl w:val="0"/>
              </w:rPr>
              <w:t xml:space="preserve">CRITERIA</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36">
            <w:pPr>
              <w:spacing w:line="259" w:lineRule="auto"/>
              <w:jc w:val="center"/>
              <w:rPr>
                <w:b w:val="1"/>
              </w:rPr>
            </w:pPr>
            <w:r w:rsidDel="00000000" w:rsidR="00000000" w:rsidRPr="00000000">
              <w:rPr>
                <w:b w:val="1"/>
                <w:rtl w:val="0"/>
              </w:rPr>
              <w:t xml:space="preserve">CLA Score</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37">
            <w:pPr>
              <w:spacing w:line="259" w:lineRule="auto"/>
              <w:jc w:val="center"/>
              <w:rPr>
                <w:b w:val="1"/>
              </w:rPr>
            </w:pPr>
            <w:r w:rsidDel="00000000" w:rsidR="00000000" w:rsidRPr="00000000">
              <w:rPr>
                <w:b w:val="1"/>
                <w:rtl w:val="0"/>
              </w:rPr>
              <w:t xml:space="preserve">Grade</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38">
            <w:pPr>
              <w:spacing w:line="259" w:lineRule="auto"/>
              <w:jc w:val="center"/>
              <w:rPr>
                <w:b w:val="1"/>
              </w:rPr>
            </w:pPr>
            <w:r w:rsidDel="00000000" w:rsidR="00000000" w:rsidRPr="00000000">
              <w:rPr>
                <w:b w:val="1"/>
                <w:rtl w:val="0"/>
              </w:rPr>
              <w:t xml:space="preserve">Points</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rPr/>
            </w:pPr>
            <w:r w:rsidDel="00000000" w:rsidR="00000000" w:rsidRPr="00000000">
              <w:rPr>
                <w:rtl w:val="0"/>
              </w:rPr>
              <w:t xml:space="preserve">Meets all competency criteria and 1-2 of mastery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jc w:val="cente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jc w:val="center"/>
              <w:rPr/>
            </w:pPr>
            <w:r w:rsidDel="00000000" w:rsidR="00000000" w:rsidRPr="00000000">
              <w:rPr>
                <w:rtl w:val="0"/>
              </w:rPr>
              <w:t xml:space="preserve">1000</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rPr/>
            </w:pPr>
            <w:r w:rsidDel="00000000" w:rsidR="00000000" w:rsidRPr="00000000">
              <w:rPr>
                <w:rtl w:val="0"/>
              </w:rPr>
              <w:t xml:space="preserve">Meets all competency criteria and none of the mastery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jc w:val="cente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0">
            <w:pPr>
              <w:jc w:val="center"/>
              <w:rPr/>
            </w:pPr>
            <w:r w:rsidDel="00000000" w:rsidR="00000000" w:rsidRPr="00000000">
              <w:rPr>
                <w:rtl w:val="0"/>
              </w:rPr>
              <w:t xml:space="preserve">850</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spacing w:line="259" w:lineRule="auto"/>
              <w:rPr/>
            </w:pPr>
            <w:r w:rsidDel="00000000" w:rsidR="00000000" w:rsidRPr="00000000">
              <w:rPr>
                <w:rtl w:val="0"/>
              </w:rPr>
              <w:t xml:space="preserve">Meets 2 of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spacing w:line="259"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spacing w:line="259" w:lineRule="auto"/>
              <w:jc w:val="center"/>
              <w:rPr/>
            </w:pPr>
            <w:r w:rsidDel="00000000" w:rsidR="00000000" w:rsidRPr="00000000">
              <w:rPr>
                <w:rtl w:val="0"/>
              </w:rPr>
              <w:t xml:space="preserve">0</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spacing w:line="259" w:lineRule="auto"/>
              <w:rPr/>
            </w:pPr>
            <w:r w:rsidDel="00000000" w:rsidR="00000000" w:rsidRPr="00000000">
              <w:rPr>
                <w:rtl w:val="0"/>
              </w:rPr>
              <w:t xml:space="preserve">Meets 1 of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spacing w:line="259"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spacing w:line="259" w:lineRule="auto"/>
              <w:jc w:val="center"/>
              <w:rPr/>
            </w:pPr>
            <w:r w:rsidDel="00000000" w:rsidR="00000000" w:rsidRPr="00000000">
              <w:rPr>
                <w:rtl w:val="0"/>
              </w:rPr>
              <w:t xml:space="preserve">0</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spacing w:line="259" w:lineRule="auto"/>
              <w:rPr/>
            </w:pPr>
            <w:r w:rsidDel="00000000" w:rsidR="00000000" w:rsidRPr="00000000">
              <w:rPr>
                <w:rtl w:val="0"/>
              </w:rPr>
              <w:t xml:space="preserve">Meets 0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A">
            <w:pPr>
              <w:spacing w:line="259" w:lineRule="auto"/>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B">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spacing w:line="259" w:lineRule="auto"/>
              <w:jc w:val="center"/>
              <w:rPr/>
            </w:pPr>
            <w:r w:rsidDel="00000000" w:rsidR="00000000" w:rsidRPr="00000000">
              <w:rPr>
                <w:rtl w:val="0"/>
              </w:rPr>
              <w:t xml:space="preserve">0</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spacing w:line="259" w:lineRule="auto"/>
              <w:rPr/>
            </w:pPr>
            <w:r w:rsidDel="00000000" w:rsidR="00000000" w:rsidRPr="00000000">
              <w:rPr>
                <w:rtl w:val="0"/>
              </w:rPr>
              <w:t xml:space="preserve">No submission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E">
            <w:pPr>
              <w:spacing w:line="259" w:lineRule="auto"/>
              <w:jc w:val="center"/>
              <w:rPr/>
            </w:pPr>
            <w:r w:rsidDel="00000000" w:rsidR="00000000" w:rsidRPr="00000000">
              <w:rPr>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spacing w:line="259" w:lineRule="auto"/>
              <w:jc w:val="center"/>
              <w:rPr/>
            </w:pPr>
            <w:r w:rsidDel="00000000" w:rsidR="00000000" w:rsidRPr="00000000">
              <w:rPr>
                <w:rtl w:val="0"/>
              </w:rPr>
              <w:t xml:space="preserve">0</w:t>
            </w:r>
          </w:p>
        </w:tc>
      </w:tr>
    </w:tbl>
    <w:p w:rsidR="00000000" w:rsidDel="00000000" w:rsidP="00000000" w:rsidRDefault="00000000" w:rsidRPr="00000000" w14:paraId="00000051">
      <w:pPr>
        <w:spacing w:line="240" w:lineRule="auto"/>
        <w:rPr>
          <w:shd w:fill="fce5cd" w:val="clear"/>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*Not Yet Competent grades convert to an F at term end</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highlight w:val="white"/>
        </w:rPr>
      </w:pPr>
      <w:bookmarkStart w:colFirst="0" w:colLast="0" w:name="_heading=h.1fob9te" w:id="2"/>
      <w:bookmarkEnd w:id="2"/>
      <w:r w:rsidDel="00000000" w:rsidR="00000000" w:rsidRPr="00000000">
        <w:rPr>
          <w:b w:val="1"/>
          <w:highlight w:val="white"/>
          <w:rtl w:val="0"/>
        </w:rPr>
        <w:t xml:space="preserve">*If work submitted for this competency assessment does not meet the minimum submission requirements, it will be returned for revision without being scored. If the work submitted does not meet the minimum submission requirements by the end of the term you will receive a failing score.</w:t>
      </w:r>
    </w:p>
    <w:p w:rsidR="00000000" w:rsidDel="00000000" w:rsidP="00000000" w:rsidRDefault="00000000" w:rsidRPr="00000000" w14:paraId="00000055">
      <w:pPr>
        <w:spacing w:line="240" w:lineRule="auto"/>
        <w:rPr>
          <w:b w:val="1"/>
          <w:highlight w:val="white"/>
        </w:rPr>
      </w:pPr>
      <w:bookmarkStart w:colFirst="0" w:colLast="0" w:name="_heading=h.3znysh7" w:id="3"/>
      <w:bookmarkEnd w:id="3"/>
      <w:r w:rsidDel="00000000" w:rsidR="00000000" w:rsidRPr="00000000">
        <w:rPr>
          <w:rtl w:val="0"/>
        </w:rPr>
      </w:r>
    </w:p>
    <w:p w:rsidR="00000000" w:rsidDel="00000000" w:rsidP="00000000" w:rsidRDefault="00000000" w:rsidRPr="00000000" w14:paraId="00000056">
      <w:pPr>
        <w:pStyle w:val="Heading2"/>
        <w:spacing w:line="240" w:lineRule="auto"/>
        <w:jc w:val="center"/>
        <w:rPr/>
      </w:pPr>
      <w:bookmarkStart w:colFirst="0" w:colLast="0" w:name="_heading=h.2et92p0" w:id="4"/>
      <w:bookmarkEnd w:id="4"/>
      <w:r w:rsidDel="00000000" w:rsidR="00000000" w:rsidRPr="00000000">
        <w:rPr>
          <w:rtl w:val="0"/>
        </w:rPr>
        <w:t xml:space="preserve">Minimum Submission Requirements</w:t>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5"/>
        <w:gridCol w:w="1140"/>
        <w:gridCol w:w="1140"/>
        <w:tblGridChange w:id="0">
          <w:tblGrid>
            <w:gridCol w:w="7065"/>
            <w:gridCol w:w="1140"/>
            <w:gridCol w:w="1140"/>
          </w:tblGrid>
        </w:tblGridChange>
      </w:tblGrid>
      <w:tr>
        <w:tc>
          <w:tcPr>
            <w:tcBorders>
              <w:bottom w:color="000000" w:space="0" w:sz="4" w:val="single"/>
            </w:tcBorders>
          </w:tcPr>
          <w:p w:rsidR="00000000" w:rsidDel="00000000" w:rsidP="00000000" w:rsidRDefault="00000000" w:rsidRPr="00000000" w14:paraId="00000057">
            <w:pPr>
              <w:rPr/>
            </w:pPr>
            <w:r w:rsidDel="00000000" w:rsidR="00000000" w:rsidRPr="00000000">
              <w:rPr>
                <w:rtl w:val="0"/>
              </w:rPr>
              <w:t xml:space="preserve">Minimum Submission Requirements</w:t>
            </w:r>
          </w:p>
        </w:tc>
        <w:tc>
          <w:tcPr>
            <w:tcBorders>
              <w:bottom w:color="000000" w:space="0" w:sz="4" w:val="single"/>
            </w:tcBorders>
          </w:tcPr>
          <w:p w:rsidR="00000000" w:rsidDel="00000000" w:rsidP="00000000" w:rsidRDefault="00000000" w:rsidRPr="00000000" w14:paraId="00000058">
            <w:pPr>
              <w:jc w:val="center"/>
              <w:rPr>
                <w:b w:val="1"/>
              </w:rPr>
            </w:pPr>
            <w:r w:rsidDel="00000000" w:rsidR="00000000" w:rsidRPr="00000000">
              <w:rPr>
                <w:b w:val="1"/>
                <w:rtl w:val="0"/>
              </w:rPr>
              <w:t xml:space="preserve">MET</w:t>
            </w:r>
          </w:p>
        </w:tc>
        <w:tc>
          <w:tcPr>
            <w:tcBorders>
              <w:bottom w:color="000000" w:space="0" w:sz="4" w:val="single"/>
            </w:tcBorders>
          </w:tcPr>
          <w:p w:rsidR="00000000" w:rsidDel="00000000" w:rsidP="00000000" w:rsidRDefault="00000000" w:rsidRPr="00000000" w14:paraId="00000059">
            <w:pPr>
              <w:jc w:val="center"/>
              <w:rPr>
                <w:b w:val="1"/>
              </w:rPr>
            </w:pPr>
            <w:r w:rsidDel="00000000" w:rsidR="00000000" w:rsidRPr="00000000">
              <w:rPr>
                <w:b w:val="1"/>
                <w:rtl w:val="0"/>
              </w:rPr>
              <w:t xml:space="preserve">NOT YET MET</w:t>
            </w:r>
          </w:p>
        </w:tc>
      </w:tr>
      <w:tr>
        <w:tc>
          <w:tcPr>
            <w:tcBorders>
              <w:top w:color="000000" w:space="0" w:sz="4" w:val="single"/>
              <w:bottom w:color="000000" w:space="0" w:sz="4" w:val="single"/>
            </w:tcBorders>
          </w:tcPr>
          <w:p w:rsidR="00000000" w:rsidDel="00000000" w:rsidP="00000000" w:rsidRDefault="00000000" w:rsidRPr="00000000" w14:paraId="0000005A">
            <w:pPr>
              <w:numPr>
                <w:ilvl w:val="0"/>
                <w:numId w:val="1"/>
              </w:numPr>
              <w:shd w:fill="ffffff" w:val="clear"/>
              <w:spacing w:after="440" w:lineRule="auto"/>
              <w:ind w:left="720" w:hanging="360"/>
            </w:pPr>
            <w:r w:rsidDel="00000000" w:rsidR="00000000" w:rsidRPr="00000000">
              <w:rPr>
                <w:color w:val="212529"/>
                <w:sz w:val="23"/>
                <w:szCs w:val="23"/>
                <w:rtl w:val="0"/>
              </w:rPr>
              <w:t xml:space="preserve">Proper notification of any resubmission, repurposing, or reworking of prior work per the </w:t>
            </w:r>
            <w:hyperlink r:id="rId7">
              <w:r w:rsidDel="00000000" w:rsidR="00000000" w:rsidRPr="00000000">
                <w:rPr>
                  <w:color w:val="98700d"/>
                  <w:sz w:val="23"/>
                  <w:szCs w:val="23"/>
                  <w:rtl w:val="0"/>
                </w:rPr>
                <w:t xml:space="preserve">Purdue Global Student Coursework Resubmission, Repurposing, and Reworking Policy Resource</w:t>
              </w:r>
            </w:hyperlink>
            <w:r w:rsidDel="00000000" w:rsidR="00000000" w:rsidRPr="00000000">
              <w:rPr>
                <w:color w:val="212529"/>
                <w:sz w:val="23"/>
                <w:szCs w:val="23"/>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B">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C">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D">
            <w:pPr>
              <w:numPr>
                <w:ilvl w:val="0"/>
                <w:numId w:val="2"/>
              </w:numPr>
              <w:shd w:fill="ffffff" w:val="clear"/>
              <w:spacing w:after="440" w:lineRule="auto"/>
              <w:ind w:left="720" w:hanging="360"/>
              <w:rPr>
                <w:rFonts w:ascii="Cabin" w:cs="Cabin" w:eastAsia="Cabin" w:hAnsi="Cabin"/>
                <w:sz w:val="24"/>
                <w:szCs w:val="24"/>
              </w:rPr>
            </w:pPr>
            <w:r w:rsidDel="00000000" w:rsidR="00000000" w:rsidRPr="00000000">
              <w:rPr>
                <w:color w:val="212529"/>
                <w:sz w:val="23"/>
                <w:szCs w:val="23"/>
                <w:rtl w:val="0"/>
              </w:rPr>
              <w:t xml:space="preserve">This assessment should be a recording 2 minutes in length.</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F">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0">
            <w:pPr>
              <w:numPr>
                <w:ilvl w:val="0"/>
                <w:numId w:val="2"/>
              </w:numPr>
              <w:shd w:fill="ffffff" w:val="clear"/>
              <w:spacing w:after="440" w:lineRule="auto"/>
              <w:ind w:left="720" w:hanging="360"/>
              <w:rPr>
                <w:rFonts w:ascii="Cabin" w:cs="Cabin" w:eastAsia="Cabin" w:hAnsi="Cabin"/>
                <w:sz w:val="24"/>
                <w:szCs w:val="24"/>
              </w:rPr>
            </w:pPr>
            <w:r w:rsidDel="00000000" w:rsidR="00000000" w:rsidRPr="00000000">
              <w:rPr>
                <w:color w:val="212529"/>
                <w:sz w:val="23"/>
                <w:szCs w:val="23"/>
                <w:rtl w:val="0"/>
              </w:rPr>
              <w:t xml:space="preserve">Respond to the questions in a thorough manner, providing specific examples of concepts, topics, definitions, and other elements asked for in the questions. Your submission should be highly organized, logical, and focused.</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1">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2">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3">
            <w:pPr>
              <w:numPr>
                <w:ilvl w:val="0"/>
                <w:numId w:val="2"/>
              </w:numPr>
              <w:shd w:fill="ffffff" w:val="clear"/>
              <w:spacing w:after="440" w:lineRule="auto"/>
              <w:ind w:left="720" w:hanging="360"/>
              <w:rPr>
                <w:rFonts w:ascii="Cabin" w:cs="Cabin" w:eastAsia="Cabin" w:hAnsi="Cabin"/>
                <w:sz w:val="24"/>
                <w:szCs w:val="24"/>
              </w:rPr>
            </w:pPr>
            <w:r w:rsidDel="00000000" w:rsidR="00000000" w:rsidRPr="00000000">
              <w:rPr>
                <w:color w:val="212529"/>
                <w:sz w:val="23"/>
                <w:szCs w:val="23"/>
                <w:rtl w:val="0"/>
              </w:rPr>
              <w:t xml:space="preserve">Your submission should provide a clearly established and sustained viewpoint and purpose.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4">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5">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6">
            <w:pPr>
              <w:numPr>
                <w:ilvl w:val="0"/>
                <w:numId w:val="2"/>
              </w:numPr>
              <w:shd w:fill="ffffff" w:val="clear"/>
              <w:spacing w:after="440" w:lineRule="auto"/>
              <w:ind w:left="720" w:hanging="360"/>
              <w:rPr>
                <w:rFonts w:ascii="Cabin" w:cs="Cabin" w:eastAsia="Cabin" w:hAnsi="Cabin"/>
                <w:sz w:val="24"/>
                <w:szCs w:val="24"/>
              </w:rPr>
            </w:pPr>
            <w:r w:rsidDel="00000000" w:rsidR="00000000" w:rsidRPr="00000000">
              <w:rPr>
                <w:color w:val="212529"/>
                <w:sz w:val="23"/>
                <w:szCs w:val="23"/>
                <w:rtl w:val="0"/>
              </w:rPr>
              <w:t xml:space="preserve">Your video should be well ordered, logical, and unified, as well as original and insightful.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7">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8">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9">
            <w:pPr>
              <w:numPr>
                <w:ilvl w:val="0"/>
                <w:numId w:val="2"/>
              </w:numPr>
              <w:shd w:fill="ffffff" w:val="clear"/>
              <w:spacing w:after="440" w:lineRule="auto"/>
              <w:ind w:left="720" w:hanging="360"/>
              <w:rPr>
                <w:rFonts w:ascii="Cabin" w:cs="Cabin" w:eastAsia="Cabin" w:hAnsi="Cabin"/>
                <w:sz w:val="24"/>
                <w:szCs w:val="24"/>
              </w:rPr>
            </w:pPr>
            <w:r w:rsidDel="00000000" w:rsidR="00000000" w:rsidRPr="00000000">
              <w:rPr>
                <w:color w:val="212529"/>
                <w:sz w:val="23"/>
                <w:szCs w:val="23"/>
                <w:rtl w:val="0"/>
              </w:rPr>
              <w:t xml:space="preserve">Your submission must be presented in Standard English and demonstrate exceptional content, organization, and style.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B">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C">
            <w:pPr>
              <w:numPr>
                <w:ilvl w:val="0"/>
                <w:numId w:val="2"/>
              </w:numPr>
              <w:shd w:fill="ffffff" w:val="clear"/>
              <w:spacing w:after="440" w:lineRule="auto"/>
              <w:ind w:left="720" w:hanging="360"/>
              <w:rPr>
                <w:rFonts w:ascii="Cabin" w:cs="Cabin" w:eastAsia="Cabin" w:hAnsi="Cabin"/>
                <w:sz w:val="24"/>
                <w:szCs w:val="24"/>
              </w:rPr>
            </w:pPr>
            <w:r w:rsidDel="00000000" w:rsidR="00000000" w:rsidRPr="00000000">
              <w:rPr>
                <w:color w:val="212529"/>
                <w:sz w:val="23"/>
                <w:szCs w:val="23"/>
                <w:rtl w:val="0"/>
              </w:rPr>
              <w:t xml:space="preserve">A separate page along with your submission should contain a list of references in APA format. Use your textbook, the Library, and the internet for research.</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shd w:fill="ffffff" w:val="clear"/>
        <w:spacing w:after="440" w:line="240" w:lineRule="auto"/>
        <w:ind w:left="0" w:firstLine="0"/>
        <w:rPr>
          <w:color w:val="212529"/>
          <w:sz w:val="23"/>
          <w:szCs w:val="23"/>
        </w:rPr>
      </w:pPr>
      <w:r w:rsidDel="00000000" w:rsidR="00000000" w:rsidRPr="00000000">
        <w:rPr>
          <w:rtl w:val="0"/>
        </w:rPr>
      </w:r>
    </w:p>
    <w:p w:rsidR="00000000" w:rsidDel="00000000" w:rsidP="00000000" w:rsidRDefault="00000000" w:rsidRPr="00000000" w14:paraId="00000070">
      <w:pPr>
        <w:spacing w:after="100" w:before="100"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0"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1" w:customStyle="1">
    <w:basedOn w:val="TableNormal"/>
    <w:pPr>
      <w:spacing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uportal-a.akamaihd.net/ascmedia/wc/resubmissionpolicyresour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ymEdIfDVnSl09+iSda/7POjRw==">AMUW2mXpz+5eZ8y+dP2ysZEflOYImtTQIUQWrHtcFl80fP0Mv2kcHLXiPEbb6GmIaRv1VVy3aUL5YKrFgKFAKXHvCv2gDBE0rIAt1xvXOAJ5QCtvClyXgFwIOnTXLQyZ/vIFiJjinyQhSoLwCuJyoHFqlo4kTCojtjaEU8uMGcdf9UFPvIw7OYL0eSGFIUS63FK72TXFQeQd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2021-04-14T19:24:00Z</dcterms:created>
</cp:coreProperties>
</file>